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A165" w14:textId="61870008" w:rsidR="006D7682" w:rsidRPr="001A4258" w:rsidRDefault="006D7682" w:rsidP="001A4258">
      <w:pPr>
        <w:jc w:val="center"/>
        <w:rPr>
          <w:b/>
          <w:bCs/>
        </w:rPr>
      </w:pPr>
      <w:r w:rsidRPr="001A4258">
        <w:rPr>
          <w:b/>
          <w:bCs/>
        </w:rPr>
        <w:t>RECORLEV®</w:t>
      </w:r>
      <w:r w:rsidR="00337408" w:rsidRPr="001A4258">
        <w:rPr>
          <w:b/>
          <w:bCs/>
        </w:rPr>
        <w:t xml:space="preserve"> </w:t>
      </w:r>
      <w:r w:rsidR="00705C7B" w:rsidRPr="001A4258">
        <w:rPr>
          <w:b/>
          <w:bCs/>
        </w:rPr>
        <w:t>(</w:t>
      </w:r>
      <w:proofErr w:type="spellStart"/>
      <w:r w:rsidR="00705C7B" w:rsidRPr="001A4258">
        <w:rPr>
          <w:b/>
          <w:bCs/>
        </w:rPr>
        <w:t>levoketoconazole</w:t>
      </w:r>
      <w:proofErr w:type="spellEnd"/>
      <w:r w:rsidR="00705C7B" w:rsidRPr="001A4258">
        <w:rPr>
          <w:b/>
          <w:bCs/>
        </w:rPr>
        <w:t>)</w:t>
      </w:r>
      <w:r w:rsidR="001A4258" w:rsidRPr="001A4258">
        <w:rPr>
          <w:b/>
          <w:bCs/>
        </w:rPr>
        <w:t xml:space="preserve"> Letter of Appeal TEMPLATE</w:t>
      </w:r>
    </w:p>
    <w:p w14:paraId="4766668C" w14:textId="2A3EAE27" w:rsidR="0088431F" w:rsidRPr="00580A0D" w:rsidRDefault="009726D0" w:rsidP="00580A0D">
      <w:pPr>
        <w:jc w:val="center"/>
        <w:rPr>
          <w:b/>
          <w:bCs/>
        </w:rPr>
      </w:pPr>
      <w:r w:rsidRPr="00EB0EF7">
        <w:rPr>
          <w:b/>
          <w:bCs/>
        </w:rPr>
        <w:t>*Please note- this template should only be used as a guide.</w:t>
      </w:r>
    </w:p>
    <w:p w14:paraId="33DCBE0F" w14:textId="683507F5" w:rsidR="001A4258" w:rsidRPr="001A4258" w:rsidRDefault="001A4258" w:rsidP="001A4258">
      <w:pPr>
        <w:jc w:val="center"/>
        <w:rPr>
          <w:b/>
          <w:bCs/>
        </w:rPr>
      </w:pPr>
      <w:r w:rsidRPr="001A4258">
        <w:rPr>
          <w:b/>
          <w:bCs/>
        </w:rPr>
        <w:t>TEMPLATE</w:t>
      </w:r>
    </w:p>
    <w:p w14:paraId="500249C5" w14:textId="77777777" w:rsidR="00793476" w:rsidRPr="00AB6729" w:rsidRDefault="00793476" w:rsidP="00854367">
      <w:pPr>
        <w:pStyle w:val="BodyText"/>
        <w:spacing w:before="59"/>
        <w:ind w:right="144"/>
        <w:jc w:val="both"/>
        <w:rPr>
          <w:rFonts w:asciiTheme="minorHAnsi" w:hAnsiTheme="minorHAnsi"/>
          <w:color w:val="FF66CC"/>
          <w:sz w:val="22"/>
          <w:szCs w:val="22"/>
        </w:rPr>
      </w:pPr>
      <w:r w:rsidRPr="00AB6729">
        <w:rPr>
          <w:rFonts w:asciiTheme="minorHAnsi" w:hAnsiTheme="minorHAnsi"/>
          <w:color w:val="FF66CC"/>
          <w:sz w:val="22"/>
          <w:szCs w:val="22"/>
        </w:rPr>
        <w:t>(Date)</w:t>
      </w:r>
    </w:p>
    <w:p w14:paraId="2DE87D55" w14:textId="77777777" w:rsidR="00854367" w:rsidRPr="00AB6729" w:rsidRDefault="00793476" w:rsidP="00854367">
      <w:pPr>
        <w:pStyle w:val="BodyText"/>
        <w:spacing w:before="1"/>
        <w:ind w:right="144"/>
        <w:jc w:val="both"/>
        <w:rPr>
          <w:rFonts w:asciiTheme="minorHAnsi" w:hAnsiTheme="minorHAnsi"/>
          <w:color w:val="FF66CC"/>
          <w:sz w:val="22"/>
          <w:szCs w:val="22"/>
        </w:rPr>
      </w:pPr>
      <w:r w:rsidRPr="00AB6729">
        <w:rPr>
          <w:rFonts w:asciiTheme="minorHAnsi" w:hAnsiTheme="minorHAnsi"/>
          <w:color w:val="FF66CC"/>
          <w:sz w:val="22"/>
          <w:szCs w:val="22"/>
        </w:rPr>
        <w:t xml:space="preserve">(Payer Name) </w:t>
      </w:r>
      <w:r w:rsidR="00421A4D" w:rsidRPr="00AB6729">
        <w:rPr>
          <w:rFonts w:asciiTheme="minorHAnsi" w:hAnsiTheme="minorHAnsi"/>
          <w:color w:val="FF66CC"/>
          <w:sz w:val="22"/>
          <w:szCs w:val="22"/>
        </w:rPr>
        <w:t xml:space="preserve">  </w:t>
      </w:r>
    </w:p>
    <w:p w14:paraId="2E3B392E" w14:textId="77777777" w:rsidR="00854367" w:rsidRPr="00AB6729" w:rsidRDefault="00793476" w:rsidP="00854367">
      <w:pPr>
        <w:pStyle w:val="BodyText"/>
        <w:spacing w:before="1"/>
        <w:ind w:right="144"/>
        <w:jc w:val="both"/>
        <w:rPr>
          <w:rFonts w:asciiTheme="minorHAnsi" w:hAnsiTheme="minorHAnsi"/>
          <w:color w:val="FF66CC"/>
          <w:sz w:val="22"/>
          <w:szCs w:val="22"/>
        </w:rPr>
      </w:pPr>
      <w:r w:rsidRPr="00AB6729">
        <w:rPr>
          <w:rFonts w:asciiTheme="minorHAnsi" w:hAnsiTheme="minorHAnsi"/>
          <w:color w:val="FF66CC"/>
          <w:sz w:val="22"/>
          <w:szCs w:val="22"/>
        </w:rPr>
        <w:t>(Payer)</w:t>
      </w:r>
    </w:p>
    <w:p w14:paraId="07681BF1" w14:textId="4B1CE2F2" w:rsidR="00421A4D" w:rsidRPr="00AB6729" w:rsidRDefault="00E51FEA" w:rsidP="00854367">
      <w:pPr>
        <w:pStyle w:val="BodyText"/>
        <w:spacing w:before="1"/>
        <w:ind w:right="144"/>
        <w:jc w:val="both"/>
        <w:rPr>
          <w:rFonts w:asciiTheme="minorHAnsi" w:hAnsiTheme="minorHAnsi"/>
          <w:color w:val="FF66CC"/>
          <w:sz w:val="22"/>
          <w:szCs w:val="22"/>
        </w:rPr>
      </w:pPr>
      <w:r w:rsidRPr="00AB6729">
        <w:rPr>
          <w:rFonts w:asciiTheme="minorHAnsi" w:hAnsiTheme="minorHAnsi"/>
          <w:color w:val="FF66CC"/>
          <w:sz w:val="22"/>
          <w:szCs w:val="22"/>
        </w:rPr>
        <w:t xml:space="preserve"> </w:t>
      </w:r>
      <w:r w:rsidR="00421A4D" w:rsidRPr="00AB6729">
        <w:rPr>
          <w:rFonts w:asciiTheme="minorHAnsi" w:hAnsiTheme="minorHAnsi"/>
          <w:color w:val="FF66CC"/>
          <w:sz w:val="22"/>
          <w:szCs w:val="22"/>
        </w:rPr>
        <w:t>(Address)</w:t>
      </w:r>
    </w:p>
    <w:p w14:paraId="3E7042C1" w14:textId="77777777" w:rsidR="00793476" w:rsidRPr="00F013E0" w:rsidRDefault="00793476" w:rsidP="00854367">
      <w:pPr>
        <w:pStyle w:val="BodyText"/>
        <w:ind w:right="144"/>
        <w:rPr>
          <w:rFonts w:asciiTheme="minorHAnsi" w:hAnsiTheme="minorHAnsi"/>
          <w:sz w:val="22"/>
          <w:szCs w:val="22"/>
        </w:rPr>
      </w:pPr>
    </w:p>
    <w:p w14:paraId="73BDABA5" w14:textId="77777777" w:rsidR="00793476" w:rsidRPr="00F013E0" w:rsidRDefault="00793476" w:rsidP="00991CD3">
      <w:pPr>
        <w:pStyle w:val="BodyText"/>
        <w:rPr>
          <w:rFonts w:asciiTheme="minorHAnsi" w:hAnsiTheme="minorHAnsi"/>
          <w:sz w:val="22"/>
          <w:szCs w:val="22"/>
        </w:rPr>
      </w:pPr>
    </w:p>
    <w:p w14:paraId="4E6EDF5D" w14:textId="77777777" w:rsidR="00793476" w:rsidRPr="00F013E0" w:rsidRDefault="00793476" w:rsidP="00AB6729">
      <w:pPr>
        <w:pStyle w:val="BodyText"/>
        <w:spacing w:line="259" w:lineRule="auto"/>
        <w:ind w:right="6048"/>
        <w:rPr>
          <w:rFonts w:asciiTheme="minorHAnsi" w:hAnsiTheme="minorHAnsi"/>
          <w:sz w:val="22"/>
          <w:szCs w:val="22"/>
        </w:rPr>
      </w:pPr>
      <w:r w:rsidRPr="00F013E0">
        <w:rPr>
          <w:rFonts w:asciiTheme="minorHAnsi" w:hAnsiTheme="minorHAnsi"/>
          <w:sz w:val="22"/>
          <w:szCs w:val="22"/>
        </w:rPr>
        <w:t>Patient Name:</w:t>
      </w:r>
      <w:r w:rsidRPr="00F013E0">
        <w:rPr>
          <w:rFonts w:asciiTheme="minorHAnsi" w:hAnsiTheme="minorHAnsi"/>
          <w:color w:val="FF33CC"/>
          <w:sz w:val="22"/>
          <w:szCs w:val="22"/>
        </w:rPr>
        <w:t xml:space="preserve"> </w:t>
      </w:r>
      <w:r w:rsidRPr="00AB6729">
        <w:rPr>
          <w:rFonts w:asciiTheme="minorHAnsi" w:hAnsiTheme="minorHAnsi"/>
          <w:color w:val="FF66CC"/>
          <w:sz w:val="22"/>
          <w:szCs w:val="22"/>
        </w:rPr>
        <w:t xml:space="preserve">(Patient Name) </w:t>
      </w:r>
      <w:r w:rsidRPr="00F013E0">
        <w:rPr>
          <w:rFonts w:asciiTheme="minorHAnsi" w:hAnsiTheme="minorHAnsi"/>
          <w:sz w:val="22"/>
          <w:szCs w:val="22"/>
        </w:rPr>
        <w:t xml:space="preserve">Patient Date of Birth: </w:t>
      </w:r>
      <w:r w:rsidRPr="00AB6729">
        <w:rPr>
          <w:rFonts w:asciiTheme="minorHAnsi" w:hAnsiTheme="minorHAnsi"/>
          <w:color w:val="FF66CC"/>
          <w:sz w:val="22"/>
          <w:szCs w:val="22"/>
        </w:rPr>
        <w:t xml:space="preserve">(Patient DOB) </w:t>
      </w:r>
      <w:r w:rsidRPr="00F013E0">
        <w:rPr>
          <w:rFonts w:asciiTheme="minorHAnsi" w:hAnsiTheme="minorHAnsi"/>
          <w:sz w:val="22"/>
          <w:szCs w:val="22"/>
        </w:rPr>
        <w:t xml:space="preserve">Policy Number: </w:t>
      </w:r>
      <w:r w:rsidRPr="00AB6729">
        <w:rPr>
          <w:rFonts w:asciiTheme="minorHAnsi" w:hAnsiTheme="minorHAnsi"/>
          <w:color w:val="FF66CC"/>
          <w:sz w:val="22"/>
          <w:szCs w:val="22"/>
        </w:rPr>
        <w:t xml:space="preserve">(Policy Number) </w:t>
      </w:r>
      <w:r w:rsidRPr="00F013E0">
        <w:rPr>
          <w:rFonts w:asciiTheme="minorHAnsi" w:hAnsiTheme="minorHAnsi"/>
          <w:sz w:val="22"/>
          <w:szCs w:val="22"/>
        </w:rPr>
        <w:t xml:space="preserve">Group Number: </w:t>
      </w:r>
      <w:r w:rsidRPr="00AB6729">
        <w:rPr>
          <w:rFonts w:asciiTheme="minorHAnsi" w:hAnsiTheme="minorHAnsi"/>
          <w:color w:val="FF66CC"/>
          <w:sz w:val="22"/>
          <w:szCs w:val="22"/>
        </w:rPr>
        <w:t xml:space="preserve">(Group Number) </w:t>
      </w:r>
      <w:r w:rsidRPr="00F013E0">
        <w:rPr>
          <w:rFonts w:asciiTheme="minorHAnsi" w:hAnsiTheme="minorHAnsi"/>
          <w:sz w:val="22"/>
          <w:szCs w:val="22"/>
        </w:rPr>
        <w:t xml:space="preserve">Case Number: </w:t>
      </w:r>
      <w:r w:rsidRPr="00AB6729">
        <w:rPr>
          <w:rFonts w:asciiTheme="minorHAnsi" w:hAnsiTheme="minorHAnsi"/>
          <w:color w:val="FF66CC"/>
          <w:sz w:val="22"/>
          <w:szCs w:val="22"/>
        </w:rPr>
        <w:t>(Case Number)</w:t>
      </w:r>
    </w:p>
    <w:p w14:paraId="0B3F0C84" w14:textId="77777777" w:rsidR="008139FA" w:rsidRPr="00F013E0" w:rsidRDefault="008139FA"/>
    <w:p w14:paraId="358F6037" w14:textId="16350C02" w:rsidR="008139FA" w:rsidRPr="00F013E0" w:rsidRDefault="008139FA" w:rsidP="00793476">
      <w:pPr>
        <w:pStyle w:val="ListParagraph"/>
        <w:numPr>
          <w:ilvl w:val="0"/>
          <w:numId w:val="4"/>
        </w:numPr>
        <w:rPr>
          <w:b/>
          <w:bCs/>
        </w:rPr>
      </w:pPr>
      <w:r w:rsidRPr="00F013E0">
        <w:rPr>
          <w:b/>
          <w:bCs/>
        </w:rPr>
        <w:t>Summary of patient’s diagnosis</w:t>
      </w:r>
    </w:p>
    <w:p w14:paraId="2BE8BCB9" w14:textId="7F849C05" w:rsidR="00793476" w:rsidRDefault="004B5A3A" w:rsidP="00580A0D">
      <w:pPr>
        <w:pStyle w:val="BodyText"/>
        <w:spacing w:line="259" w:lineRule="auto"/>
        <w:rPr>
          <w:rFonts w:asciiTheme="minorHAnsi" w:hAnsiTheme="minorHAnsi"/>
          <w:sz w:val="22"/>
          <w:szCs w:val="22"/>
        </w:rPr>
      </w:pPr>
      <w:r w:rsidRPr="00F013E0">
        <w:rPr>
          <w:rFonts w:asciiTheme="minorHAnsi" w:hAnsiTheme="minorHAnsi"/>
          <w:sz w:val="22"/>
          <w:szCs w:val="22"/>
        </w:rPr>
        <w:t xml:space="preserve">I am writing to request an APPEAL of the decision to deny RECORLEV for my patient </w:t>
      </w:r>
      <w:r w:rsidRPr="00EF55E3">
        <w:rPr>
          <w:rFonts w:asciiTheme="minorHAnsi" w:hAnsiTheme="minorHAnsi"/>
          <w:color w:val="FF66CC"/>
          <w:sz w:val="22"/>
          <w:szCs w:val="22"/>
        </w:rPr>
        <w:t>(</w:t>
      </w:r>
      <w:r w:rsidR="00EF55E3" w:rsidRPr="00EF55E3">
        <w:rPr>
          <w:rFonts w:asciiTheme="minorHAnsi" w:hAnsiTheme="minorHAnsi"/>
          <w:color w:val="FF66CC"/>
          <w:sz w:val="22"/>
          <w:szCs w:val="22"/>
        </w:rPr>
        <w:t>p</w:t>
      </w:r>
      <w:r w:rsidRPr="00EF55E3">
        <w:rPr>
          <w:rFonts w:asciiTheme="minorHAnsi" w:hAnsiTheme="minorHAnsi"/>
          <w:color w:val="FF66CC"/>
          <w:sz w:val="22"/>
          <w:szCs w:val="22"/>
        </w:rPr>
        <w:t xml:space="preserve">atient </w:t>
      </w:r>
      <w:r w:rsidR="00EF55E3" w:rsidRPr="00EF55E3">
        <w:rPr>
          <w:rFonts w:asciiTheme="minorHAnsi" w:hAnsiTheme="minorHAnsi"/>
          <w:color w:val="FF66CC"/>
          <w:sz w:val="22"/>
          <w:szCs w:val="22"/>
        </w:rPr>
        <w:t>n</w:t>
      </w:r>
      <w:r w:rsidRPr="00EF55E3">
        <w:rPr>
          <w:rFonts w:asciiTheme="minorHAnsi" w:hAnsiTheme="minorHAnsi"/>
          <w:color w:val="FF66CC"/>
          <w:sz w:val="22"/>
          <w:szCs w:val="22"/>
        </w:rPr>
        <w:t>ame)</w:t>
      </w:r>
      <w:r w:rsidRPr="00F013E0">
        <w:rPr>
          <w:rFonts w:asciiTheme="minorHAnsi" w:hAnsiTheme="minorHAnsi"/>
          <w:sz w:val="22"/>
          <w:szCs w:val="22"/>
        </w:rPr>
        <w:t xml:space="preserve">. </w:t>
      </w:r>
      <w:r w:rsidRPr="00EF55E3">
        <w:rPr>
          <w:rFonts w:asciiTheme="minorHAnsi" w:hAnsiTheme="minorHAnsi"/>
          <w:color w:val="FF66CC"/>
          <w:sz w:val="22"/>
          <w:szCs w:val="22"/>
        </w:rPr>
        <w:t>(Patient name)</w:t>
      </w:r>
      <w:r w:rsidRPr="00F013E0">
        <w:rPr>
          <w:rFonts w:asciiTheme="minorHAnsi" w:hAnsiTheme="minorHAnsi"/>
          <w:sz w:val="22"/>
          <w:szCs w:val="22"/>
        </w:rPr>
        <w:t xml:space="preserve"> has been diagnosed with Cushing’s </w:t>
      </w:r>
      <w:r w:rsidR="00786267" w:rsidRPr="00F013E0">
        <w:rPr>
          <w:rFonts w:asciiTheme="minorHAnsi" w:hAnsiTheme="minorHAnsi"/>
          <w:sz w:val="22"/>
          <w:szCs w:val="22"/>
        </w:rPr>
        <w:t>s</w:t>
      </w:r>
      <w:r w:rsidR="000D3DF2" w:rsidRPr="00F013E0">
        <w:rPr>
          <w:rFonts w:asciiTheme="minorHAnsi" w:hAnsiTheme="minorHAnsi"/>
          <w:sz w:val="22"/>
          <w:szCs w:val="22"/>
        </w:rPr>
        <w:t>yndrome</w:t>
      </w:r>
      <w:r w:rsidRPr="00F013E0">
        <w:rPr>
          <w:rFonts w:asciiTheme="minorHAnsi" w:hAnsiTheme="minorHAnsi"/>
          <w:sz w:val="22"/>
          <w:szCs w:val="22"/>
        </w:rPr>
        <w:t>.</w:t>
      </w:r>
      <w:r w:rsidR="000D3DF2" w:rsidRPr="00F013E0">
        <w:rPr>
          <w:rFonts w:asciiTheme="minorHAnsi" w:hAnsiTheme="minorHAnsi"/>
          <w:sz w:val="22"/>
          <w:szCs w:val="22"/>
        </w:rPr>
        <w:t xml:space="preserve"> RECORLEV is a </w:t>
      </w:r>
      <w:r w:rsidR="00E5580B" w:rsidRPr="00F013E0">
        <w:rPr>
          <w:rFonts w:asciiTheme="minorHAnsi" w:hAnsiTheme="minorHAnsi"/>
          <w:sz w:val="22"/>
          <w:szCs w:val="22"/>
        </w:rPr>
        <w:t>cortisol synthesis inhibitor</w:t>
      </w:r>
      <w:r w:rsidR="00AC4754" w:rsidRPr="00F013E0">
        <w:rPr>
          <w:rFonts w:asciiTheme="minorHAnsi" w:hAnsiTheme="minorHAnsi"/>
          <w:sz w:val="22"/>
          <w:szCs w:val="22"/>
        </w:rPr>
        <w:t xml:space="preserve"> indicated for the treatment of </w:t>
      </w:r>
      <w:r w:rsidR="00B53DC6" w:rsidRPr="00F013E0">
        <w:rPr>
          <w:rFonts w:asciiTheme="minorHAnsi" w:hAnsiTheme="minorHAnsi"/>
          <w:sz w:val="22"/>
          <w:szCs w:val="22"/>
        </w:rPr>
        <w:t>endogenous</w:t>
      </w:r>
      <w:r w:rsidR="00AC4754" w:rsidRPr="00F013E0">
        <w:rPr>
          <w:rFonts w:asciiTheme="minorHAnsi" w:hAnsiTheme="minorHAnsi"/>
          <w:sz w:val="22"/>
          <w:szCs w:val="22"/>
        </w:rPr>
        <w:t xml:space="preserve"> hypercortisolemia in adult patients with Cushing’s syndrome for whom surgery is not an option or has not been curative.</w:t>
      </w:r>
      <w:r w:rsidR="00750D63">
        <w:rPr>
          <w:rFonts w:asciiTheme="minorHAnsi" w:hAnsiTheme="minorHAnsi"/>
          <w:sz w:val="22"/>
          <w:szCs w:val="22"/>
        </w:rPr>
        <w:t xml:space="preserve"> </w:t>
      </w:r>
      <w:r w:rsidR="00750D63" w:rsidRPr="00F95703">
        <w:rPr>
          <w:rFonts w:asciiTheme="minorHAnsi" w:hAnsiTheme="minorHAnsi"/>
          <w:sz w:val="22"/>
          <w:szCs w:val="22"/>
        </w:rPr>
        <w:t>RECORLEV is not approved for the treatment of fungal infections.</w:t>
      </w:r>
      <w:r w:rsidR="00872BC3" w:rsidRPr="00F95703">
        <w:rPr>
          <w:rFonts w:asciiTheme="minorHAnsi" w:hAnsiTheme="minorHAnsi"/>
          <w:sz w:val="22"/>
          <w:szCs w:val="22"/>
          <w:vertAlign w:val="superscript"/>
        </w:rPr>
        <w:t>1</w:t>
      </w:r>
      <w:r w:rsidRPr="00F013E0">
        <w:rPr>
          <w:rFonts w:asciiTheme="minorHAnsi" w:hAnsiTheme="minorHAnsi"/>
          <w:sz w:val="22"/>
          <w:szCs w:val="22"/>
        </w:rPr>
        <w:t xml:space="preserve"> </w:t>
      </w:r>
    </w:p>
    <w:p w14:paraId="2E55BB83" w14:textId="77777777" w:rsidR="00580A0D" w:rsidRPr="00580A0D" w:rsidRDefault="00580A0D" w:rsidP="00580A0D">
      <w:pPr>
        <w:pStyle w:val="BodyText"/>
        <w:spacing w:line="259" w:lineRule="auto"/>
        <w:rPr>
          <w:rFonts w:asciiTheme="minorHAnsi" w:hAnsiTheme="minorHAnsi"/>
          <w:sz w:val="22"/>
          <w:szCs w:val="22"/>
        </w:rPr>
      </w:pPr>
    </w:p>
    <w:p w14:paraId="214E2836" w14:textId="12BF3861" w:rsidR="003C0B0C" w:rsidRPr="00F013E0" w:rsidRDefault="00793476" w:rsidP="00793476">
      <w:pPr>
        <w:pStyle w:val="ListParagraph"/>
        <w:numPr>
          <w:ilvl w:val="0"/>
          <w:numId w:val="4"/>
        </w:numPr>
        <w:rPr>
          <w:b/>
          <w:bCs/>
        </w:rPr>
      </w:pPr>
      <w:r w:rsidRPr="00F013E0">
        <w:rPr>
          <w:b/>
          <w:bCs/>
        </w:rPr>
        <w:t>Denial reasons</w:t>
      </w:r>
    </w:p>
    <w:p w14:paraId="47AFEA84" w14:textId="597FE3FD" w:rsidR="003C0B0C" w:rsidRPr="00F013E0" w:rsidRDefault="00FB45E7" w:rsidP="003C0B0C">
      <w:pPr>
        <w:pStyle w:val="ListParagraph"/>
        <w:ind w:left="0"/>
      </w:pPr>
      <w:r w:rsidRPr="00F013E0">
        <w:t xml:space="preserve">Our office received a denial letter for RECORLEV on </w:t>
      </w:r>
      <w:r w:rsidRPr="004A1DB4">
        <w:rPr>
          <w:color w:val="E59EDC" w:themeColor="accent5" w:themeTint="66"/>
        </w:rPr>
        <w:t>(</w:t>
      </w:r>
      <w:r w:rsidRPr="004A1DB4">
        <w:rPr>
          <w:i/>
          <w:iCs/>
          <w:color w:val="E59EDC" w:themeColor="accent5" w:themeTint="66"/>
        </w:rPr>
        <w:t>date</w:t>
      </w:r>
      <w:r w:rsidRPr="004A1DB4">
        <w:rPr>
          <w:color w:val="E59EDC" w:themeColor="accent5" w:themeTint="66"/>
        </w:rPr>
        <w:t>)</w:t>
      </w:r>
      <w:r w:rsidRPr="00F013E0">
        <w:t xml:space="preserve">. In the denial, RECORLEV was denied </w:t>
      </w:r>
      <w:r w:rsidR="00881074" w:rsidRPr="00F013E0">
        <w:t>due to the following reasons:</w:t>
      </w:r>
    </w:p>
    <w:p w14:paraId="4263EA4C" w14:textId="05AAB667" w:rsidR="003C0B0C" w:rsidRPr="00F013E0" w:rsidRDefault="003C0B0C" w:rsidP="003C0B0C">
      <w:pPr>
        <w:pStyle w:val="ListParagraph"/>
        <w:ind w:left="0" w:firstLine="720"/>
      </w:pPr>
      <w:r w:rsidRPr="00F013E0">
        <w:t>1.</w:t>
      </w:r>
    </w:p>
    <w:p w14:paraId="6672E784" w14:textId="70992C3C" w:rsidR="003C0B0C" w:rsidRPr="00F013E0" w:rsidRDefault="003C0B0C" w:rsidP="003C0B0C">
      <w:pPr>
        <w:pStyle w:val="ListParagraph"/>
        <w:ind w:left="0" w:firstLine="720"/>
      </w:pPr>
      <w:r w:rsidRPr="00F013E0">
        <w:t>2.</w:t>
      </w:r>
    </w:p>
    <w:p w14:paraId="430E6F39" w14:textId="2828CE9E" w:rsidR="00BB5F71" w:rsidRDefault="003C0B0C" w:rsidP="004B5A3A">
      <w:pPr>
        <w:pStyle w:val="ListParagraph"/>
        <w:ind w:left="0" w:firstLine="720"/>
      </w:pPr>
      <w:r w:rsidRPr="00F013E0">
        <w:t>3.</w:t>
      </w:r>
    </w:p>
    <w:p w14:paraId="65B49478" w14:textId="77777777" w:rsidR="00286EDE" w:rsidRDefault="00286EDE" w:rsidP="004B5A3A">
      <w:pPr>
        <w:pStyle w:val="ListParagraph"/>
        <w:ind w:left="0" w:firstLine="720"/>
      </w:pPr>
    </w:p>
    <w:p w14:paraId="6B1053EB" w14:textId="77777777" w:rsidR="00286EDE" w:rsidRDefault="00286EDE" w:rsidP="00286EDE">
      <w:r>
        <w:t>*</w:t>
      </w:r>
      <w:r w:rsidRPr="00F013E0">
        <w:t>Example topics to consider when an appeal is necessary:</w:t>
      </w:r>
    </w:p>
    <w:p w14:paraId="131D8D65" w14:textId="6AC659EC" w:rsidR="0042441E" w:rsidRPr="0042441E" w:rsidRDefault="0042441E" w:rsidP="00286EDE">
      <w:pPr>
        <w:pStyle w:val="ListParagraph"/>
        <w:numPr>
          <w:ilvl w:val="0"/>
          <w:numId w:val="5"/>
        </w:numPr>
        <w:rPr>
          <w:color w:val="FF66CC"/>
        </w:rPr>
      </w:pPr>
      <w:r w:rsidRPr="005A6CEA">
        <w:rPr>
          <w:color w:val="FF66CC"/>
        </w:rPr>
        <w:t>Surg</w:t>
      </w:r>
      <w:r>
        <w:rPr>
          <w:color w:val="FF66CC"/>
        </w:rPr>
        <w:t>ical history</w:t>
      </w:r>
      <w:r w:rsidRPr="005A6CEA">
        <w:rPr>
          <w:color w:val="FF66CC"/>
        </w:rPr>
        <w:t xml:space="preserve"> – </w:t>
      </w:r>
      <w:r w:rsidR="001A0020">
        <w:rPr>
          <w:color w:val="FF66CC"/>
        </w:rPr>
        <w:t>if the</w:t>
      </w:r>
      <w:r w:rsidR="00D662B6">
        <w:rPr>
          <w:color w:val="FF66CC"/>
        </w:rPr>
        <w:t xml:space="preserve"> </w:t>
      </w:r>
      <w:r w:rsidR="001A0020">
        <w:rPr>
          <w:color w:val="FF66CC"/>
        </w:rPr>
        <w:t>patient is not an appropriate candidate for surgery</w:t>
      </w:r>
      <w:r w:rsidR="00D662B6">
        <w:rPr>
          <w:color w:val="FF66CC"/>
        </w:rPr>
        <w:t xml:space="preserve"> or has failed previous surgery</w:t>
      </w:r>
    </w:p>
    <w:p w14:paraId="6C705CEC" w14:textId="77777777" w:rsidR="00286EDE" w:rsidRPr="005A6CEA" w:rsidRDefault="00286EDE" w:rsidP="00286EDE">
      <w:pPr>
        <w:pStyle w:val="ListParagraph"/>
        <w:numPr>
          <w:ilvl w:val="0"/>
          <w:numId w:val="5"/>
        </w:numPr>
        <w:rPr>
          <w:color w:val="FF66CC"/>
        </w:rPr>
      </w:pPr>
      <w:r w:rsidRPr="005A6CEA">
        <w:rPr>
          <w:color w:val="FF66CC"/>
        </w:rPr>
        <w:t>Tried and failed previous medication</w:t>
      </w:r>
    </w:p>
    <w:p w14:paraId="64841BA4" w14:textId="3ABA124C" w:rsidR="00286EDE" w:rsidRPr="005A6CEA" w:rsidRDefault="00286EDE" w:rsidP="00286EDE">
      <w:pPr>
        <w:pStyle w:val="ListParagraph"/>
        <w:numPr>
          <w:ilvl w:val="0"/>
          <w:numId w:val="5"/>
        </w:numPr>
        <w:rPr>
          <w:color w:val="FF66CC"/>
        </w:rPr>
      </w:pPr>
      <w:r w:rsidRPr="005A6CEA">
        <w:rPr>
          <w:color w:val="FF66CC"/>
        </w:rPr>
        <w:t xml:space="preserve">If recommended </w:t>
      </w:r>
      <w:r w:rsidR="00A363B3">
        <w:rPr>
          <w:color w:val="FF66CC"/>
        </w:rPr>
        <w:t xml:space="preserve">therapy is not indicated for Cushing’s syndrome </w:t>
      </w:r>
    </w:p>
    <w:p w14:paraId="3B2551C6" w14:textId="03B0F0D6" w:rsidR="00286EDE" w:rsidRPr="00AB6729" w:rsidRDefault="00286EDE" w:rsidP="00286EDE">
      <w:pPr>
        <w:pStyle w:val="ListParagraph"/>
        <w:numPr>
          <w:ilvl w:val="0"/>
          <w:numId w:val="5"/>
        </w:numPr>
        <w:rPr>
          <w:color w:val="FF66CC"/>
        </w:rPr>
      </w:pPr>
      <w:r w:rsidRPr="005A6CEA">
        <w:rPr>
          <w:color w:val="FF66CC"/>
        </w:rPr>
        <w:t xml:space="preserve">Concerns with potential </w:t>
      </w:r>
      <w:r w:rsidR="00C61148">
        <w:rPr>
          <w:color w:val="FF66CC"/>
        </w:rPr>
        <w:t>adverse reactions</w:t>
      </w:r>
      <w:r w:rsidRPr="005A6CEA">
        <w:rPr>
          <w:color w:val="FF66CC"/>
        </w:rPr>
        <w:t xml:space="preserve"> of re</w:t>
      </w:r>
      <w:r w:rsidRPr="00AB6729">
        <w:rPr>
          <w:color w:val="FF66CC"/>
        </w:rPr>
        <w:t>commended medication for this patient</w:t>
      </w:r>
    </w:p>
    <w:p w14:paraId="226DD851" w14:textId="77777777" w:rsidR="00286EDE" w:rsidRPr="00F013E0" w:rsidRDefault="00286EDE" w:rsidP="004B5A3A">
      <w:pPr>
        <w:pStyle w:val="ListParagraph"/>
        <w:ind w:left="0" w:firstLine="720"/>
      </w:pPr>
    </w:p>
    <w:p w14:paraId="5B237558" w14:textId="1FCF4C47" w:rsidR="001130F4" w:rsidRPr="00F013E0" w:rsidRDefault="001130F4" w:rsidP="00A02E25">
      <w:r w:rsidRPr="00F013E0">
        <w:t>The reasons for which you are denying coverage limits the access of RECORLEV for my patient. RECORLEV is an FDA-approved treatment for Cushing’s syndrome and has</w:t>
      </w:r>
      <w:r w:rsidR="00CC046E">
        <w:t xml:space="preserve"> demonstrated a favorable safety and efficacy </w:t>
      </w:r>
      <w:r w:rsidR="009A30AB">
        <w:t>profile in clinical trials.</w:t>
      </w:r>
      <w:r w:rsidR="009A30AB" w:rsidRPr="009A30AB">
        <w:rPr>
          <w:vertAlign w:val="superscript"/>
        </w:rPr>
        <w:t>1</w:t>
      </w:r>
    </w:p>
    <w:p w14:paraId="50F6F203" w14:textId="77777777" w:rsidR="001130F4" w:rsidRPr="00F013E0" w:rsidRDefault="001130F4" w:rsidP="004B5A3A">
      <w:pPr>
        <w:pStyle w:val="ListParagraph"/>
        <w:ind w:left="0" w:firstLine="720"/>
      </w:pPr>
    </w:p>
    <w:p w14:paraId="1BECF49B" w14:textId="424644D9" w:rsidR="004B5A3A" w:rsidRPr="00F013E0" w:rsidRDefault="004B5A3A" w:rsidP="004B5A3A">
      <w:pPr>
        <w:pStyle w:val="ListParagraph"/>
        <w:numPr>
          <w:ilvl w:val="0"/>
          <w:numId w:val="4"/>
        </w:numPr>
        <w:jc w:val="both"/>
        <w:rPr>
          <w:b/>
          <w:bCs/>
        </w:rPr>
      </w:pPr>
      <w:r w:rsidRPr="00F013E0">
        <w:rPr>
          <w:b/>
          <w:bCs/>
        </w:rPr>
        <w:lastRenderedPageBreak/>
        <w:t>Response or Rebuttals to denied reasons</w:t>
      </w:r>
    </w:p>
    <w:p w14:paraId="3BA8C2D2" w14:textId="35151708" w:rsidR="00BB5F71" w:rsidRPr="00F013E0" w:rsidRDefault="00BB5F71" w:rsidP="008139FA">
      <w:r w:rsidRPr="00F013E0">
        <w:t xml:space="preserve">I disagree with this decision, in my clinical judgment, treatment with </w:t>
      </w:r>
      <w:r w:rsidR="00881074" w:rsidRPr="00F013E0">
        <w:t>RECORLEV</w:t>
      </w:r>
      <w:r w:rsidRPr="00F013E0">
        <w:t xml:space="preserve"> is medically necessary because of the following reasons:</w:t>
      </w:r>
    </w:p>
    <w:p w14:paraId="599AF4DE" w14:textId="621539EF" w:rsidR="00BB5F71" w:rsidRPr="00F013E0" w:rsidRDefault="00BB5F71" w:rsidP="00BB5F71">
      <w:pPr>
        <w:spacing w:line="240" w:lineRule="auto"/>
        <w:ind w:firstLine="720"/>
      </w:pPr>
      <w:proofErr w:type="gramStart"/>
      <w:r w:rsidRPr="00F013E0">
        <w:t>1.</w:t>
      </w:r>
      <w:r w:rsidR="002342D3" w:rsidRPr="00F013E0">
        <w:t xml:space="preserve">  </w:t>
      </w:r>
      <w:r w:rsidR="002342D3" w:rsidRPr="001C2AEB">
        <w:rPr>
          <w:i/>
          <w:iCs/>
          <w:color w:val="FF66CC"/>
        </w:rPr>
        <w:t>(</w:t>
      </w:r>
      <w:proofErr w:type="gramEnd"/>
      <w:r w:rsidR="002342D3" w:rsidRPr="001C2AEB">
        <w:rPr>
          <w:i/>
          <w:iCs/>
          <w:color w:val="FF66CC"/>
        </w:rPr>
        <w:t>correspond with denial reason #1)</w:t>
      </w:r>
    </w:p>
    <w:p w14:paraId="6356A516" w14:textId="62B1774E" w:rsidR="00BB5F71" w:rsidRPr="001C2AEB" w:rsidRDefault="00BB5F71" w:rsidP="00BB5F71">
      <w:pPr>
        <w:spacing w:line="240" w:lineRule="auto"/>
        <w:ind w:firstLine="720"/>
        <w:rPr>
          <w:color w:val="FF66CC"/>
        </w:rPr>
      </w:pPr>
      <w:r w:rsidRPr="00F013E0">
        <w:t>2.</w:t>
      </w:r>
      <w:r w:rsidR="00DA61DB" w:rsidRPr="00F013E0">
        <w:rPr>
          <w:i/>
          <w:iCs/>
        </w:rPr>
        <w:t xml:space="preserve"> </w:t>
      </w:r>
      <w:r w:rsidR="00DA61DB" w:rsidRPr="001C2AEB">
        <w:rPr>
          <w:i/>
          <w:iCs/>
          <w:color w:val="FF66CC"/>
        </w:rPr>
        <w:t>(correspond with denial reason #</w:t>
      </w:r>
      <w:r w:rsidR="002D51FA" w:rsidRPr="001C2AEB">
        <w:rPr>
          <w:i/>
          <w:iCs/>
          <w:color w:val="FF66CC"/>
        </w:rPr>
        <w:t>2</w:t>
      </w:r>
      <w:r w:rsidR="00DA61DB" w:rsidRPr="001C2AEB">
        <w:rPr>
          <w:i/>
          <w:iCs/>
          <w:color w:val="FF66CC"/>
        </w:rPr>
        <w:t>)</w:t>
      </w:r>
    </w:p>
    <w:p w14:paraId="1F5D46FD" w14:textId="62753D7A" w:rsidR="00BB5F71" w:rsidRPr="00F013E0" w:rsidRDefault="00BB5F71" w:rsidP="00BB5F71">
      <w:pPr>
        <w:spacing w:line="240" w:lineRule="auto"/>
        <w:ind w:firstLine="720"/>
      </w:pPr>
      <w:r w:rsidRPr="00F013E0">
        <w:t>3.</w:t>
      </w:r>
      <w:r w:rsidR="002D51FA" w:rsidRPr="00F013E0">
        <w:t xml:space="preserve"> </w:t>
      </w:r>
      <w:r w:rsidR="002D51FA" w:rsidRPr="001C2AEB">
        <w:rPr>
          <w:i/>
          <w:iCs/>
          <w:color w:val="FF66CC"/>
        </w:rPr>
        <w:t>(correspond with denial reason #3)</w:t>
      </w:r>
      <w:r w:rsidRPr="001C2AEB">
        <w:rPr>
          <w:color w:val="FF66CC"/>
        </w:rPr>
        <w:t xml:space="preserve"> </w:t>
      </w:r>
    </w:p>
    <w:p w14:paraId="53491633" w14:textId="4F0C767D" w:rsidR="00BB5F71" w:rsidRPr="00F013E0" w:rsidRDefault="00FD4E91" w:rsidP="008139FA">
      <w:pPr>
        <w:pStyle w:val="ListParagraph"/>
        <w:numPr>
          <w:ilvl w:val="0"/>
          <w:numId w:val="4"/>
        </w:numPr>
        <w:rPr>
          <w:b/>
          <w:bCs/>
        </w:rPr>
      </w:pPr>
      <w:r w:rsidRPr="00F013E0">
        <w:rPr>
          <w:b/>
          <w:bCs/>
        </w:rPr>
        <w:t>R</w:t>
      </w:r>
      <w:r w:rsidR="008139FA" w:rsidRPr="00F013E0">
        <w:rPr>
          <w:b/>
          <w:bCs/>
        </w:rPr>
        <w:t>ationale for treatment</w:t>
      </w:r>
      <w:r w:rsidR="005733AC" w:rsidRPr="00F013E0">
        <w:rPr>
          <w:b/>
          <w:bCs/>
        </w:rPr>
        <w:t>/treatment plan</w:t>
      </w:r>
    </w:p>
    <w:p w14:paraId="6C0C2EF3" w14:textId="645264B1" w:rsidR="00332890" w:rsidRPr="00F12C3D" w:rsidRDefault="00332890" w:rsidP="00F12C3D">
      <w:pPr>
        <w:spacing w:line="288" w:lineRule="auto"/>
        <w:ind w:left="360"/>
        <w:rPr>
          <w:rFonts w:cs="Arial"/>
          <w:color w:val="FF66CC"/>
        </w:rPr>
      </w:pPr>
      <w:r w:rsidRPr="00503E1A">
        <w:rPr>
          <w:rFonts w:cs="Arial"/>
          <w:color w:val="FF66CC"/>
        </w:rPr>
        <w:t xml:space="preserve">[Discuss rationale for using RECORLEV vs other treatments. Insert your recommendation summary here, including your professional opinion of your patient’s likely prognosis or disease progression without treatment with product.]  </w:t>
      </w:r>
    </w:p>
    <w:p w14:paraId="280A9A34" w14:textId="465C751D" w:rsidR="0066027B" w:rsidRDefault="0066027B" w:rsidP="008758FD">
      <w:pPr>
        <w:pStyle w:val="BodyText"/>
        <w:spacing w:before="1" w:line="276" w:lineRule="auto"/>
        <w:ind w:left="140" w:right="353"/>
        <w:rPr>
          <w:rFonts w:asciiTheme="minorHAnsi" w:hAnsiTheme="minorHAnsi"/>
          <w:sz w:val="22"/>
          <w:szCs w:val="22"/>
        </w:rPr>
      </w:pPr>
      <w:r w:rsidRPr="00F013E0">
        <w:rPr>
          <w:rFonts w:asciiTheme="minorHAnsi" w:hAnsiTheme="minorHAnsi"/>
          <w:sz w:val="22"/>
          <w:szCs w:val="22"/>
        </w:rPr>
        <w:t xml:space="preserve">If you have any questions or wish to conduct a </w:t>
      </w:r>
      <w:r w:rsidR="009A30AB">
        <w:rPr>
          <w:rFonts w:asciiTheme="minorHAnsi" w:hAnsiTheme="minorHAnsi"/>
          <w:sz w:val="22"/>
          <w:szCs w:val="22"/>
        </w:rPr>
        <w:t xml:space="preserve">peer-to-peer </w:t>
      </w:r>
      <w:r w:rsidRPr="00F013E0">
        <w:rPr>
          <w:rFonts w:asciiTheme="minorHAnsi" w:hAnsiTheme="minorHAnsi"/>
          <w:sz w:val="22"/>
          <w:szCs w:val="22"/>
        </w:rPr>
        <w:t xml:space="preserve">discussion, feel free to contact me at </w:t>
      </w:r>
      <w:r w:rsidRPr="00503E1A">
        <w:rPr>
          <w:rFonts w:asciiTheme="minorHAnsi" w:hAnsiTheme="minorHAnsi"/>
          <w:color w:val="FF66CC"/>
          <w:sz w:val="22"/>
          <w:szCs w:val="22"/>
        </w:rPr>
        <w:t>(phone number)</w:t>
      </w:r>
      <w:r w:rsidRPr="00F013E0">
        <w:rPr>
          <w:rFonts w:asciiTheme="minorHAnsi" w:hAnsiTheme="minorHAnsi"/>
          <w:sz w:val="22"/>
          <w:szCs w:val="22"/>
        </w:rPr>
        <w:t>. Thank you for your time and consideration</w:t>
      </w:r>
      <w:r w:rsidR="00F013E0">
        <w:rPr>
          <w:rFonts w:asciiTheme="minorHAnsi" w:hAnsiTheme="minorHAnsi"/>
          <w:sz w:val="22"/>
          <w:szCs w:val="22"/>
        </w:rPr>
        <w:t>.</w:t>
      </w:r>
    </w:p>
    <w:p w14:paraId="574F8E9B" w14:textId="77777777" w:rsidR="005D00B9" w:rsidRDefault="005D00B9" w:rsidP="00854367">
      <w:pPr>
        <w:pStyle w:val="BodyText"/>
        <w:spacing w:before="1" w:line="276" w:lineRule="auto"/>
        <w:ind w:left="140" w:right="353"/>
        <w:rPr>
          <w:rFonts w:asciiTheme="minorHAnsi" w:hAnsiTheme="minorHAnsi"/>
          <w:sz w:val="22"/>
          <w:szCs w:val="22"/>
        </w:rPr>
      </w:pPr>
    </w:p>
    <w:p w14:paraId="110FDBD6" w14:textId="0B5E33E9" w:rsidR="005D00B9" w:rsidRDefault="005D00B9" w:rsidP="00854367">
      <w:pPr>
        <w:pStyle w:val="BodyText"/>
        <w:spacing w:before="1" w:line="276" w:lineRule="auto"/>
        <w:ind w:left="140" w:right="353"/>
        <w:rPr>
          <w:rFonts w:asciiTheme="minorHAnsi" w:hAnsiTheme="minorHAnsi"/>
          <w:sz w:val="22"/>
          <w:szCs w:val="22"/>
        </w:rPr>
      </w:pPr>
      <w:r>
        <w:rPr>
          <w:rFonts w:asciiTheme="minorHAnsi" w:hAnsiTheme="minorHAnsi"/>
          <w:sz w:val="22"/>
          <w:szCs w:val="22"/>
        </w:rPr>
        <w:t>Sincerely,</w:t>
      </w:r>
    </w:p>
    <w:p w14:paraId="1C02D072" w14:textId="3EF9888F" w:rsidR="00A3200F" w:rsidRDefault="00503E1A" w:rsidP="00BA5C72">
      <w:pPr>
        <w:pStyle w:val="BodyText"/>
        <w:spacing w:before="1" w:line="276" w:lineRule="auto"/>
        <w:ind w:left="140" w:right="353"/>
        <w:rPr>
          <w:rFonts w:asciiTheme="minorHAnsi" w:hAnsiTheme="minorHAnsi"/>
          <w:color w:val="FF66CC"/>
          <w:sz w:val="22"/>
          <w:szCs w:val="22"/>
        </w:rPr>
      </w:pPr>
      <w:r w:rsidRPr="00503E1A">
        <w:rPr>
          <w:rFonts w:asciiTheme="minorHAnsi" w:hAnsiTheme="minorHAnsi"/>
          <w:color w:val="FF66CC"/>
          <w:sz w:val="22"/>
          <w:szCs w:val="22"/>
        </w:rPr>
        <w:t>[</w:t>
      </w:r>
      <w:r w:rsidR="00FC4C9F">
        <w:rPr>
          <w:rFonts w:asciiTheme="minorHAnsi" w:hAnsiTheme="minorHAnsi"/>
          <w:color w:val="FF66CC"/>
          <w:sz w:val="22"/>
          <w:szCs w:val="22"/>
        </w:rPr>
        <w:t>P</w:t>
      </w:r>
      <w:r w:rsidRPr="00503E1A">
        <w:rPr>
          <w:rFonts w:asciiTheme="minorHAnsi" w:hAnsiTheme="minorHAnsi"/>
          <w:color w:val="FF66CC"/>
          <w:sz w:val="22"/>
          <w:szCs w:val="22"/>
        </w:rPr>
        <w:t>hysician’s name and participating provider number]</w:t>
      </w:r>
    </w:p>
    <w:p w14:paraId="46A81B31" w14:textId="77777777" w:rsidR="00D31C00" w:rsidRDefault="00D31C00" w:rsidP="00BA5C72">
      <w:pPr>
        <w:pStyle w:val="BodyText"/>
        <w:spacing w:before="1" w:line="276" w:lineRule="auto"/>
        <w:ind w:left="140" w:right="353"/>
        <w:rPr>
          <w:rFonts w:asciiTheme="minorHAnsi" w:hAnsiTheme="minorHAnsi"/>
          <w:color w:val="FF66CC"/>
          <w:sz w:val="22"/>
          <w:szCs w:val="22"/>
        </w:rPr>
      </w:pPr>
    </w:p>
    <w:p w14:paraId="01948E3B" w14:textId="77777777" w:rsidR="00E262D6" w:rsidRDefault="00E262D6" w:rsidP="00E262D6">
      <w:pPr>
        <w:autoSpaceDE w:val="0"/>
        <w:autoSpaceDN w:val="0"/>
        <w:adjustRightInd w:val="0"/>
        <w:spacing w:after="0" w:line="240" w:lineRule="auto"/>
        <w:rPr>
          <w:rFonts w:ascii="Arial" w:hAnsi="Arial" w:cs="Arial"/>
          <w:i/>
          <w:iCs/>
          <w:color w:val="FF0000"/>
          <w:kern w:val="0"/>
          <w:sz w:val="20"/>
          <w:szCs w:val="20"/>
        </w:rPr>
      </w:pPr>
    </w:p>
    <w:p w14:paraId="38C8FB20" w14:textId="77777777" w:rsidR="008C76AB" w:rsidRPr="008C76AB" w:rsidRDefault="008C76AB" w:rsidP="00E262D6">
      <w:pPr>
        <w:autoSpaceDE w:val="0"/>
        <w:autoSpaceDN w:val="0"/>
        <w:adjustRightInd w:val="0"/>
        <w:spacing w:after="0" w:line="240" w:lineRule="auto"/>
        <w:rPr>
          <w:rFonts w:ascii="Arial" w:hAnsi="Arial" w:cs="Arial"/>
          <w:color w:val="FF0000"/>
          <w:kern w:val="0"/>
          <w:sz w:val="20"/>
          <w:szCs w:val="20"/>
        </w:rPr>
      </w:pPr>
    </w:p>
    <w:p w14:paraId="5921E103" w14:textId="77777777" w:rsidR="008758FD" w:rsidRPr="00350841" w:rsidRDefault="008758FD" w:rsidP="00E262D6">
      <w:pPr>
        <w:autoSpaceDE w:val="0"/>
        <w:autoSpaceDN w:val="0"/>
        <w:adjustRightInd w:val="0"/>
        <w:spacing w:after="0" w:line="240" w:lineRule="auto"/>
        <w:rPr>
          <w:rFonts w:ascii="Arial" w:hAnsi="Arial" w:cs="Arial"/>
          <w:i/>
          <w:iCs/>
          <w:color w:val="FF0000"/>
          <w:kern w:val="0"/>
          <w:sz w:val="20"/>
          <w:szCs w:val="20"/>
        </w:rPr>
      </w:pPr>
    </w:p>
    <w:p w14:paraId="22C884FB" w14:textId="77777777" w:rsidR="00327441" w:rsidRPr="0069259C" w:rsidRDefault="00327441" w:rsidP="00327441">
      <w:pPr>
        <w:spacing w:after="0"/>
        <w:rPr>
          <w:b/>
          <w:bCs/>
          <w:sz w:val="26"/>
          <w:szCs w:val="26"/>
        </w:rPr>
      </w:pPr>
      <w:r w:rsidRPr="0069259C">
        <w:rPr>
          <w:b/>
          <w:bCs/>
          <w:sz w:val="26"/>
          <w:szCs w:val="26"/>
        </w:rPr>
        <w:t>Indication</w:t>
      </w:r>
    </w:p>
    <w:p w14:paraId="01A25B97" w14:textId="77777777" w:rsidR="00327441" w:rsidRPr="007C5AF7" w:rsidRDefault="00327441" w:rsidP="00327441">
      <w:pPr>
        <w:spacing w:after="0" w:line="240" w:lineRule="auto"/>
        <w:rPr>
          <w:b/>
          <w:bCs/>
        </w:rPr>
      </w:pPr>
      <w:r w:rsidRPr="007C5AF7">
        <w:t>RECORLEV (</w:t>
      </w:r>
      <w:proofErr w:type="spellStart"/>
      <w:r w:rsidRPr="007C5AF7">
        <w:t>levoketoconazole</w:t>
      </w:r>
      <w:proofErr w:type="spellEnd"/>
      <w:r w:rsidRPr="007C5AF7">
        <w:t>) is a cortisol synthesis inhibitor indicated for the treatment of endogenous hypercortisolemia in adult patients with Cushing’s syndrome for whom surgery is not an option or has not been curative.</w:t>
      </w:r>
    </w:p>
    <w:p w14:paraId="4CA0717E" w14:textId="77777777" w:rsidR="00327441" w:rsidRPr="00577AB7" w:rsidRDefault="00327441" w:rsidP="00327441">
      <w:pPr>
        <w:spacing w:after="0" w:line="240" w:lineRule="auto"/>
        <w:rPr>
          <w:b/>
          <w:bCs/>
          <w:sz w:val="24"/>
          <w:szCs w:val="24"/>
        </w:rPr>
      </w:pPr>
    </w:p>
    <w:p w14:paraId="422ECD1C" w14:textId="77777777" w:rsidR="00327441" w:rsidRPr="007C5AF7" w:rsidRDefault="00327441" w:rsidP="00327441">
      <w:pPr>
        <w:spacing w:after="0" w:line="240" w:lineRule="auto"/>
      </w:pPr>
      <w:r w:rsidRPr="00255594">
        <w:rPr>
          <w:b/>
          <w:bCs/>
        </w:rPr>
        <w:t>Limitations of use:</w:t>
      </w:r>
      <w:r w:rsidRPr="00577AB7">
        <w:rPr>
          <w:b/>
          <w:bCs/>
          <w:sz w:val="24"/>
          <w:szCs w:val="24"/>
        </w:rPr>
        <w:t xml:space="preserve"> </w:t>
      </w:r>
      <w:r w:rsidRPr="007C5AF7">
        <w:t>RECORLEV is not approved for the treatment of fungal infections.</w:t>
      </w:r>
    </w:p>
    <w:p w14:paraId="6338F8E8" w14:textId="77777777" w:rsidR="006F2096" w:rsidRPr="007C5AF7" w:rsidRDefault="006F2096" w:rsidP="006F2096">
      <w:pPr>
        <w:spacing w:after="0" w:line="240" w:lineRule="auto"/>
      </w:pPr>
    </w:p>
    <w:p w14:paraId="71597794" w14:textId="77777777" w:rsidR="008C76AB" w:rsidRDefault="008C76AB" w:rsidP="008758FD">
      <w:pPr>
        <w:spacing w:after="120"/>
        <w:rPr>
          <w:b/>
          <w:bCs/>
          <w:sz w:val="26"/>
          <w:szCs w:val="26"/>
        </w:rPr>
      </w:pPr>
    </w:p>
    <w:p w14:paraId="76EA995E" w14:textId="77777777" w:rsidR="008C76AB" w:rsidRDefault="008C76AB" w:rsidP="008758FD">
      <w:pPr>
        <w:spacing w:after="120"/>
        <w:rPr>
          <w:b/>
          <w:bCs/>
          <w:sz w:val="26"/>
          <w:szCs w:val="26"/>
        </w:rPr>
      </w:pPr>
    </w:p>
    <w:p w14:paraId="304B59A8" w14:textId="77777777" w:rsidR="008C76AB" w:rsidRDefault="008C76AB" w:rsidP="008758FD">
      <w:pPr>
        <w:spacing w:after="120"/>
        <w:rPr>
          <w:b/>
          <w:bCs/>
          <w:sz w:val="26"/>
          <w:szCs w:val="26"/>
        </w:rPr>
      </w:pPr>
    </w:p>
    <w:p w14:paraId="0B1D2119" w14:textId="77777777" w:rsidR="008C76AB" w:rsidRDefault="008C76AB" w:rsidP="008758FD">
      <w:pPr>
        <w:spacing w:after="120"/>
        <w:rPr>
          <w:b/>
          <w:bCs/>
          <w:sz w:val="26"/>
          <w:szCs w:val="26"/>
        </w:rPr>
      </w:pPr>
    </w:p>
    <w:p w14:paraId="3D4BDB37" w14:textId="77777777" w:rsidR="008C76AB" w:rsidRDefault="008C76AB" w:rsidP="008758FD">
      <w:pPr>
        <w:spacing w:after="120"/>
        <w:rPr>
          <w:b/>
          <w:bCs/>
          <w:sz w:val="26"/>
          <w:szCs w:val="26"/>
        </w:rPr>
      </w:pPr>
    </w:p>
    <w:p w14:paraId="16E2B5F8" w14:textId="77777777" w:rsidR="008C76AB" w:rsidRDefault="008C76AB" w:rsidP="008758FD">
      <w:pPr>
        <w:spacing w:after="120"/>
        <w:rPr>
          <w:b/>
          <w:bCs/>
          <w:sz w:val="26"/>
          <w:szCs w:val="26"/>
        </w:rPr>
      </w:pPr>
    </w:p>
    <w:p w14:paraId="452ADEA9" w14:textId="77777777" w:rsidR="008C76AB" w:rsidRPr="008F5F3C" w:rsidRDefault="008C76AB" w:rsidP="008758FD">
      <w:pPr>
        <w:spacing w:after="120"/>
        <w:rPr>
          <w:b/>
          <w:bCs/>
          <w:sz w:val="26"/>
          <w:szCs w:val="26"/>
        </w:rPr>
      </w:pPr>
    </w:p>
    <w:p w14:paraId="2C2C23BD" w14:textId="1D3201DC" w:rsidR="008C76AB" w:rsidRPr="008F5F3C" w:rsidRDefault="008C76AB" w:rsidP="008C76AB">
      <w:pPr>
        <w:spacing w:after="0" w:line="240" w:lineRule="auto"/>
        <w:rPr>
          <w:b/>
          <w:bCs/>
          <w:sz w:val="24"/>
          <w:szCs w:val="24"/>
        </w:rPr>
      </w:pPr>
      <w:r w:rsidRPr="008F5F3C">
        <w:rPr>
          <w:b/>
          <w:bCs/>
          <w:sz w:val="24"/>
          <w:szCs w:val="24"/>
        </w:rPr>
        <w:t xml:space="preserve">Please see Important Safety Information </w:t>
      </w:r>
      <w:r w:rsidR="00D920EE" w:rsidRPr="008F5F3C">
        <w:rPr>
          <w:b/>
          <w:bCs/>
          <w:sz w:val="24"/>
          <w:szCs w:val="24"/>
        </w:rPr>
        <w:t xml:space="preserve">on page </w:t>
      </w:r>
      <w:r w:rsidR="008F5F3C" w:rsidRPr="008F5F3C">
        <w:rPr>
          <w:b/>
          <w:bCs/>
          <w:sz w:val="24"/>
          <w:szCs w:val="24"/>
        </w:rPr>
        <w:t>3</w:t>
      </w:r>
      <w:r w:rsidRPr="008F5F3C">
        <w:rPr>
          <w:b/>
          <w:bCs/>
          <w:sz w:val="24"/>
          <w:szCs w:val="24"/>
        </w:rPr>
        <w:t xml:space="preserve"> and </w:t>
      </w:r>
      <w:hyperlink r:id="rId8" w:history="1">
        <w:r w:rsidRPr="008F5F3C">
          <w:rPr>
            <w:rStyle w:val="Hyperlink"/>
            <w:b/>
            <w:bCs/>
            <w:sz w:val="24"/>
            <w:szCs w:val="24"/>
          </w:rPr>
          <w:t>full Prescribing Information</w:t>
        </w:r>
      </w:hyperlink>
      <w:r w:rsidRPr="008F5F3C">
        <w:rPr>
          <w:b/>
          <w:bCs/>
          <w:sz w:val="24"/>
          <w:szCs w:val="24"/>
        </w:rPr>
        <w:t>, including Boxed Warning</w:t>
      </w:r>
      <w:r w:rsidR="00482B06" w:rsidRPr="008F5F3C">
        <w:rPr>
          <w:b/>
          <w:bCs/>
          <w:sz w:val="24"/>
          <w:szCs w:val="24"/>
        </w:rPr>
        <w:t>,</w:t>
      </w:r>
      <w:r w:rsidRPr="008F5F3C">
        <w:rPr>
          <w:b/>
          <w:bCs/>
          <w:sz w:val="24"/>
          <w:szCs w:val="24"/>
        </w:rPr>
        <w:t xml:space="preserve"> for RECORLEV.</w:t>
      </w:r>
    </w:p>
    <w:p w14:paraId="435312A8" w14:textId="104D6C91" w:rsidR="008758FD" w:rsidRPr="00EA053E" w:rsidRDefault="008758FD" w:rsidP="008758FD">
      <w:pPr>
        <w:spacing w:after="120"/>
        <w:rPr>
          <w:b/>
          <w:bCs/>
          <w:sz w:val="26"/>
          <w:szCs w:val="26"/>
        </w:rPr>
      </w:pPr>
      <w:r w:rsidRPr="00B8369E">
        <w:rPr>
          <w:b/>
          <w:bCs/>
          <w:noProof/>
          <w:sz w:val="26"/>
          <w:szCs w:val="26"/>
        </w:rPr>
        <w:lastRenderedPageBreak/>
        <mc:AlternateContent>
          <mc:Choice Requires="wps">
            <w:drawing>
              <wp:anchor distT="45720" distB="45720" distL="114300" distR="114300" simplePos="0" relativeHeight="251661312" behindDoc="0" locked="0" layoutInCell="1" allowOverlap="1" wp14:anchorId="64FF9B0F" wp14:editId="3CEC7B19">
                <wp:simplePos x="0" y="0"/>
                <wp:positionH relativeFrom="margin">
                  <wp:align>left</wp:align>
                </wp:positionH>
                <wp:positionV relativeFrom="paragraph">
                  <wp:posOffset>250825</wp:posOffset>
                </wp:positionV>
                <wp:extent cx="5943600" cy="1920240"/>
                <wp:effectExtent l="0" t="0" r="19050" b="22860"/>
                <wp:wrapThrough wrapText="bothSides">
                  <wp:wrapPolygon edited="0">
                    <wp:start x="0" y="0"/>
                    <wp:lineTo x="0" y="21643"/>
                    <wp:lineTo x="21600" y="21643"/>
                    <wp:lineTo x="21600" y="0"/>
                    <wp:lineTo x="0" y="0"/>
                  </wp:wrapPolygon>
                </wp:wrapThrough>
                <wp:docPr id="16383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20240"/>
                        </a:xfrm>
                        <a:prstGeom prst="rect">
                          <a:avLst/>
                        </a:prstGeom>
                        <a:solidFill>
                          <a:srgbClr val="FFFFFF"/>
                        </a:solidFill>
                        <a:ln w="9525">
                          <a:solidFill>
                            <a:srgbClr val="000000"/>
                          </a:solidFill>
                          <a:miter lim="800000"/>
                          <a:headEnd/>
                          <a:tailEnd/>
                        </a:ln>
                      </wps:spPr>
                      <wps:txbx>
                        <w:txbxContent>
                          <w:p w14:paraId="212B7F76" w14:textId="77777777" w:rsidR="008758FD" w:rsidRDefault="008758FD" w:rsidP="008758FD">
                            <w:pPr>
                              <w:rPr>
                                <w:b/>
                                <w:bCs/>
                              </w:rPr>
                            </w:pPr>
                            <w:r w:rsidRPr="00C60A6D">
                              <w:rPr>
                                <w:b/>
                                <w:bCs/>
                              </w:rPr>
                              <w:t>WARNING: HEPATOTOXICITY AND QT PROLONGATION</w:t>
                            </w:r>
                          </w:p>
                          <w:p w14:paraId="1CC59B4D" w14:textId="77777777" w:rsidR="008758FD" w:rsidRDefault="008758FD" w:rsidP="008758FD">
                            <w:pPr>
                              <w:pStyle w:val="ListParagraph"/>
                              <w:numPr>
                                <w:ilvl w:val="0"/>
                                <w:numId w:val="8"/>
                              </w:numPr>
                              <w:rPr>
                                <w:b/>
                                <w:bCs/>
                              </w:rPr>
                            </w:pPr>
                            <w:r w:rsidRPr="004E27F4">
                              <w:rPr>
                                <w:b/>
                                <w:bCs/>
                              </w:rPr>
                              <w:t>Cases of hepatotoxicity with fatal outcome or requiring liver transplantation have been reported with oral ketoconazole. Some patients had no obvious risk factors for liver disease. RECORLEV is associated with serious hepatotoxicity. Evaluate liver enzymes prior to and during treatment</w:t>
                            </w:r>
                          </w:p>
                          <w:p w14:paraId="63E38CBF" w14:textId="77777777" w:rsidR="008758FD" w:rsidRPr="004E27F4" w:rsidRDefault="008758FD" w:rsidP="008758FD">
                            <w:pPr>
                              <w:pStyle w:val="ListParagraph"/>
                              <w:numPr>
                                <w:ilvl w:val="0"/>
                                <w:numId w:val="8"/>
                              </w:numPr>
                              <w:rPr>
                                <w:b/>
                                <w:bCs/>
                              </w:rPr>
                            </w:pPr>
                            <w:r w:rsidRPr="004E27F4">
                              <w:rPr>
                                <w:b/>
                                <w:bCs/>
                              </w:rPr>
                              <w:t xml:space="preserve">RECORLEV is associated with dose-related QT interval prolongation. QT interval prolongation may result in life-threatening ventricular dysrhythmias such as </w:t>
                            </w:r>
                            <w:proofErr w:type="spellStart"/>
                            <w:r w:rsidRPr="004E27F4">
                              <w:rPr>
                                <w:b/>
                                <w:bCs/>
                              </w:rPr>
                              <w:t>torsades</w:t>
                            </w:r>
                            <w:proofErr w:type="spellEnd"/>
                            <w:r w:rsidRPr="004E27F4">
                              <w:rPr>
                                <w:b/>
                                <w:bCs/>
                              </w:rPr>
                              <w:t xml:space="preserve"> de pointes. Perform ECG and correct hypokalemia and hypomagnesemia prior to and during treatment</w:t>
                            </w:r>
                          </w:p>
                          <w:p w14:paraId="2B9B68EF" w14:textId="77777777" w:rsidR="008758FD" w:rsidRDefault="008758FD" w:rsidP="008758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F9B0F" id="_x0000_t202" coordsize="21600,21600" o:spt="202" path="m,l,21600r21600,l21600,xe">
                <v:stroke joinstyle="miter"/>
                <v:path gradientshapeok="t" o:connecttype="rect"/>
              </v:shapetype>
              <v:shape id="Text Box 2" o:spid="_x0000_s1026" type="#_x0000_t202" style="position:absolute;margin-left:0;margin-top:19.75pt;width:468pt;height:151.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">
                <v:textbox>
                  <w:txbxContent>
                    <w:p w14:paraId="212B7F76" w14:textId="77777777" w:rsidR="008758FD" w:rsidRDefault="008758FD" w:rsidP="008758FD">
                      <w:pPr>
                        <w:rPr>
                          <w:b/>
                          <w:bCs/>
                        </w:rPr>
                      </w:pPr>
                      <w:r w:rsidRPr="00C60A6D">
                        <w:rPr>
                          <w:b/>
                          <w:bCs/>
                        </w:rPr>
                        <w:t>WARNING: HEPATOTOXICITY AND QT PROLONGATION</w:t>
                      </w:r>
                    </w:p>
                    <w:p w14:paraId="1CC59B4D" w14:textId="77777777" w:rsidR="008758FD" w:rsidRDefault="008758FD" w:rsidP="008758FD">
                      <w:pPr>
                        <w:pStyle w:val="ListParagraph"/>
                        <w:numPr>
                          <w:ilvl w:val="0"/>
                          <w:numId w:val="8"/>
                        </w:numPr>
                        <w:rPr>
                          <w:b/>
                          <w:bCs/>
                        </w:rPr>
                      </w:pPr>
                      <w:r w:rsidRPr="004E27F4">
                        <w:rPr>
                          <w:b/>
                          <w:bCs/>
                        </w:rPr>
                        <w:t>Cases of hepatotoxicity with fatal outcome or requiring liver transplantation have been reported with oral ketoconazole. Some patients had no obvious risk factors for liver disease. RECORLEV is associated with serious hepatotoxicity. Evaluate liver enzymes prior to and during treatment</w:t>
                      </w:r>
                    </w:p>
                    <w:p w14:paraId="63E38CBF" w14:textId="77777777" w:rsidR="008758FD" w:rsidRPr="004E27F4" w:rsidRDefault="008758FD" w:rsidP="008758FD">
                      <w:pPr>
                        <w:pStyle w:val="ListParagraph"/>
                        <w:numPr>
                          <w:ilvl w:val="0"/>
                          <w:numId w:val="8"/>
                        </w:numPr>
                        <w:rPr>
                          <w:b/>
                          <w:bCs/>
                        </w:rPr>
                      </w:pPr>
                      <w:r w:rsidRPr="004E27F4">
                        <w:rPr>
                          <w:b/>
                          <w:bCs/>
                        </w:rPr>
                        <w:t xml:space="preserve">RECORLEV is associated with dose-related QT interval prolongation. QT interval prolongation may result in life-threatening ventricular dysrhythmias such as </w:t>
                      </w:r>
                      <w:proofErr w:type="spellStart"/>
                      <w:r w:rsidRPr="004E27F4">
                        <w:rPr>
                          <w:b/>
                          <w:bCs/>
                        </w:rPr>
                        <w:t>torsades</w:t>
                      </w:r>
                      <w:proofErr w:type="spellEnd"/>
                      <w:r w:rsidRPr="004E27F4">
                        <w:rPr>
                          <w:b/>
                          <w:bCs/>
                        </w:rPr>
                        <w:t xml:space="preserve"> de pointes. Perform ECG and correct hypokalemia and hypomagnesemia prior to and during treatment</w:t>
                      </w:r>
                    </w:p>
                    <w:p w14:paraId="2B9B68EF" w14:textId="77777777" w:rsidR="008758FD" w:rsidRDefault="008758FD" w:rsidP="008758FD"/>
                  </w:txbxContent>
                </v:textbox>
                <w10:wrap type="through" anchorx="margin"/>
              </v:shape>
            </w:pict>
          </mc:Fallback>
        </mc:AlternateContent>
      </w:r>
      <w:r w:rsidRPr="00B8369E">
        <w:rPr>
          <w:b/>
          <w:bCs/>
          <w:sz w:val="26"/>
          <w:szCs w:val="26"/>
        </w:rPr>
        <w:t>Important Safety Information</w:t>
      </w:r>
    </w:p>
    <w:p w14:paraId="1130E41B" w14:textId="77777777" w:rsidR="00327441" w:rsidRPr="007C5AF7" w:rsidRDefault="00327441" w:rsidP="00327441">
      <w:pPr>
        <w:pStyle w:val="ListParagraph"/>
        <w:numPr>
          <w:ilvl w:val="0"/>
          <w:numId w:val="6"/>
        </w:numPr>
      </w:pPr>
      <w:r w:rsidRPr="007C5AF7">
        <w:t>RECORLEV is contraindicated in patients:</w:t>
      </w:r>
    </w:p>
    <w:p w14:paraId="1BABAB1D" w14:textId="77777777" w:rsidR="00327441" w:rsidRPr="007C5AF7" w:rsidRDefault="00327441" w:rsidP="00327441">
      <w:pPr>
        <w:pStyle w:val="ListParagraph"/>
        <w:numPr>
          <w:ilvl w:val="0"/>
          <w:numId w:val="7"/>
        </w:numPr>
      </w:pPr>
      <w:r w:rsidRPr="007C5AF7">
        <w:t>With cirrhosis, acute liver disease or poorly controlled chronic liver disease, baseline AST or ALT &gt;3 times the upper limit of normal, recurrent symptomatic cholelithiasis, a prior history of drug-induced liver injury due to ketoconazole or any azole antifungal therapy that required discontinuation of treatment, or extensive metastatic liver disease</w:t>
      </w:r>
    </w:p>
    <w:p w14:paraId="23D04011" w14:textId="77777777" w:rsidR="00327441" w:rsidRPr="007C5AF7" w:rsidRDefault="00327441" w:rsidP="00327441">
      <w:pPr>
        <w:pStyle w:val="ListParagraph"/>
        <w:numPr>
          <w:ilvl w:val="0"/>
          <w:numId w:val="7"/>
        </w:numPr>
      </w:pPr>
      <w:r w:rsidRPr="007C5AF7">
        <w:t xml:space="preserve">Taking drugs that cause QT prolongation associated with ventricular arrhythmias, including </w:t>
      </w:r>
      <w:proofErr w:type="spellStart"/>
      <w:r w:rsidRPr="007C5AF7">
        <w:t>torsades</w:t>
      </w:r>
      <w:proofErr w:type="spellEnd"/>
      <w:r w:rsidRPr="007C5AF7">
        <w:t xml:space="preserve"> de pointes</w:t>
      </w:r>
    </w:p>
    <w:p w14:paraId="07369F6D" w14:textId="77777777" w:rsidR="00327441" w:rsidRPr="007C5AF7" w:rsidRDefault="00327441" w:rsidP="00327441">
      <w:pPr>
        <w:pStyle w:val="ListParagraph"/>
        <w:numPr>
          <w:ilvl w:val="0"/>
          <w:numId w:val="7"/>
        </w:numPr>
      </w:pPr>
      <w:r w:rsidRPr="007C5AF7">
        <w:t xml:space="preserve">With prolonged </w:t>
      </w:r>
      <w:proofErr w:type="spellStart"/>
      <w:r w:rsidRPr="007C5AF7">
        <w:t>QTcF</w:t>
      </w:r>
      <w:proofErr w:type="spellEnd"/>
      <w:r w:rsidRPr="007C5AF7">
        <w:t xml:space="preserve"> interval &gt;470 msec at baseline, history of </w:t>
      </w:r>
      <w:proofErr w:type="spellStart"/>
      <w:r w:rsidRPr="007C5AF7">
        <w:t>torsades</w:t>
      </w:r>
      <w:proofErr w:type="spellEnd"/>
      <w:r w:rsidRPr="007C5AF7">
        <w:t xml:space="preserve"> de pointes, ventricular tachycardia, ventricular fibrillation, or long QT syndrome</w:t>
      </w:r>
    </w:p>
    <w:p w14:paraId="558EC481" w14:textId="77777777" w:rsidR="00327441" w:rsidRPr="007C5AF7" w:rsidRDefault="00327441" w:rsidP="00327441">
      <w:pPr>
        <w:pStyle w:val="ListParagraph"/>
        <w:numPr>
          <w:ilvl w:val="0"/>
          <w:numId w:val="7"/>
        </w:numPr>
      </w:pPr>
      <w:r w:rsidRPr="007C5AF7">
        <w:t xml:space="preserve">With hypersensitivity to </w:t>
      </w:r>
      <w:proofErr w:type="spellStart"/>
      <w:r w:rsidRPr="007C5AF7">
        <w:t>levoketoconazole</w:t>
      </w:r>
      <w:proofErr w:type="spellEnd"/>
      <w:r w:rsidRPr="007C5AF7">
        <w:t>, ketoconazole, or any excipient in RECORLEV</w:t>
      </w:r>
    </w:p>
    <w:p w14:paraId="611573A2" w14:textId="77777777" w:rsidR="00327441" w:rsidRPr="007C5AF7" w:rsidRDefault="00327441" w:rsidP="00327441">
      <w:pPr>
        <w:pStyle w:val="ListParagraph"/>
        <w:numPr>
          <w:ilvl w:val="0"/>
          <w:numId w:val="7"/>
        </w:numPr>
      </w:pPr>
      <w:r w:rsidRPr="007C5AF7">
        <w:t>Taking certain drugs that are sensitive substrates of CYP3A4 or CYP3A4 and P-</w:t>
      </w:r>
      <w:proofErr w:type="spellStart"/>
      <w:r w:rsidRPr="007C5AF7">
        <w:t>gp</w:t>
      </w:r>
      <w:proofErr w:type="spellEnd"/>
    </w:p>
    <w:p w14:paraId="0F0207D7" w14:textId="77777777" w:rsidR="00327441" w:rsidRPr="007C5AF7" w:rsidRDefault="00327441" w:rsidP="00327441">
      <w:pPr>
        <w:pStyle w:val="ListParagraph"/>
        <w:numPr>
          <w:ilvl w:val="0"/>
          <w:numId w:val="6"/>
        </w:numPr>
      </w:pPr>
      <w:r w:rsidRPr="007C5AF7">
        <w:t xml:space="preserve">RECORLEV may lead to </w:t>
      </w:r>
      <w:proofErr w:type="spellStart"/>
      <w:r w:rsidRPr="007C5AF7">
        <w:t>hypocortisolism</w:t>
      </w:r>
      <w:proofErr w:type="spellEnd"/>
      <w:r w:rsidRPr="007C5AF7">
        <w:t xml:space="preserve"> with a potential for life-threatening adrenal insufficiency. Dosage reduction or interruption may be necessary </w:t>
      </w:r>
    </w:p>
    <w:p w14:paraId="5BF36B7E" w14:textId="77777777" w:rsidR="00327441" w:rsidRPr="007C5AF7" w:rsidRDefault="00327441" w:rsidP="00327441">
      <w:pPr>
        <w:pStyle w:val="ListParagraph"/>
        <w:numPr>
          <w:ilvl w:val="0"/>
          <w:numId w:val="6"/>
        </w:numPr>
      </w:pPr>
      <w:r w:rsidRPr="007C5AF7">
        <w:t xml:space="preserve">Hypersensitivity to RECORLEV has been reported. Anaphylaxis has been reported with oral ketoconazole </w:t>
      </w:r>
    </w:p>
    <w:p w14:paraId="246F96F1" w14:textId="77777777" w:rsidR="00327441" w:rsidRPr="007C5AF7" w:rsidRDefault="00327441" w:rsidP="00327441">
      <w:pPr>
        <w:pStyle w:val="ListParagraph"/>
        <w:numPr>
          <w:ilvl w:val="0"/>
          <w:numId w:val="6"/>
        </w:numPr>
      </w:pPr>
      <w:r w:rsidRPr="007C5AF7">
        <w:t>RECORLEV may lower serum testosterone in men and women. Inform patients to report associated symptoms</w:t>
      </w:r>
    </w:p>
    <w:p w14:paraId="67FE710B" w14:textId="77777777" w:rsidR="00327441" w:rsidRPr="007C5AF7" w:rsidRDefault="00327441" w:rsidP="00327441">
      <w:pPr>
        <w:pStyle w:val="ListParagraph"/>
        <w:numPr>
          <w:ilvl w:val="0"/>
          <w:numId w:val="6"/>
        </w:numPr>
      </w:pPr>
      <w:r w:rsidRPr="007C5AF7">
        <w:t>Most common adverse reactions are nausea/vomiting, hypokalemia, hemorrhage/contusion, systemic hypertension, headache, hepatic injury, abnormal uterine bleeding, erythema, fatigue, abdominal pain/dyspepsia, arthritis, upper respiratory infection, myalgia, arrhythmia, back pain, insomnia/sleep disturbances, and peripheral edema</w:t>
      </w:r>
    </w:p>
    <w:p w14:paraId="10EB7189" w14:textId="68A90F2C" w:rsidR="007914A9" w:rsidRPr="007C5AF7" w:rsidRDefault="00327441" w:rsidP="007914A9">
      <w:pPr>
        <w:pStyle w:val="ListParagraph"/>
        <w:numPr>
          <w:ilvl w:val="0"/>
          <w:numId w:val="6"/>
        </w:numPr>
      </w:pPr>
      <w:r w:rsidRPr="007C5AF7">
        <w:t>Avoid use of strong CYP3A4 inhibitors and inducers 2 weeks before and during RECORLEV treatment. Consult approved product labeling for drugs that are substrates of CYP3A4, P-</w:t>
      </w:r>
      <w:proofErr w:type="spellStart"/>
      <w:r w:rsidRPr="007C5AF7">
        <w:t>gp</w:t>
      </w:r>
      <w:proofErr w:type="spellEnd"/>
      <w:r w:rsidRPr="007C5AF7">
        <w:t>, OCT2, and MATE prior to initiating RECORLEV. For atorvastatin, metformin, and gastric acid modulators, see full Prescribing Information for recommendations regarding concomitant use with RECORLEV</w:t>
      </w:r>
    </w:p>
    <w:p w14:paraId="66F18EBB" w14:textId="77777777" w:rsidR="00327441" w:rsidRPr="007C5AF7" w:rsidRDefault="00327441" w:rsidP="00327441">
      <w:pPr>
        <w:pStyle w:val="ListParagraph"/>
        <w:numPr>
          <w:ilvl w:val="0"/>
          <w:numId w:val="6"/>
        </w:numPr>
      </w:pPr>
      <w:r w:rsidRPr="007C5AF7">
        <w:t>Breastfeeding is not recommended during treatment and for one day after final dose</w:t>
      </w:r>
    </w:p>
    <w:p w14:paraId="054B9D67" w14:textId="77777777" w:rsidR="008C76AB" w:rsidRPr="00F6049E" w:rsidRDefault="00327441" w:rsidP="008758FD">
      <w:pPr>
        <w:rPr>
          <w:b/>
          <w:bCs/>
        </w:rPr>
      </w:pPr>
      <w:r w:rsidRPr="00F6049E">
        <w:rPr>
          <w:b/>
          <w:bCs/>
        </w:rPr>
        <w:t xml:space="preserve">Please see </w:t>
      </w:r>
      <w:hyperlink r:id="rId9" w:history="1">
        <w:r w:rsidRPr="00F6049E">
          <w:rPr>
            <w:rStyle w:val="Hyperlink"/>
            <w:b/>
            <w:bCs/>
          </w:rPr>
          <w:t>Medication Guide</w:t>
        </w:r>
      </w:hyperlink>
      <w:r w:rsidRPr="00F6049E">
        <w:rPr>
          <w:b/>
          <w:bCs/>
        </w:rPr>
        <w:t xml:space="preserve"> and </w:t>
      </w:r>
      <w:hyperlink r:id="rId10" w:history="1">
        <w:r w:rsidRPr="00F6049E">
          <w:rPr>
            <w:rStyle w:val="Hyperlink"/>
            <w:b/>
            <w:bCs/>
          </w:rPr>
          <w:t>full Prescribing Information</w:t>
        </w:r>
      </w:hyperlink>
      <w:r w:rsidRPr="00F6049E">
        <w:rPr>
          <w:b/>
          <w:bCs/>
        </w:rPr>
        <w:t>, including Boxed Warning, for RECORLEV.</w:t>
      </w:r>
    </w:p>
    <w:p w14:paraId="48F0EA02" w14:textId="1EE58667" w:rsidR="00327441" w:rsidRPr="008C76AB" w:rsidRDefault="008758FD" w:rsidP="008758FD">
      <w:pPr>
        <w:rPr>
          <w:b/>
          <w:bCs/>
          <w:sz w:val="24"/>
          <w:szCs w:val="24"/>
        </w:rPr>
      </w:pPr>
      <w:r>
        <w:t xml:space="preserve">Reference: 1. </w:t>
      </w:r>
      <w:r w:rsidR="007C5AF7" w:rsidRPr="001949F9">
        <w:t xml:space="preserve">RECORLEV </w:t>
      </w:r>
      <w:r w:rsidR="007C5AF7">
        <w:t>[p</w:t>
      </w:r>
      <w:r w:rsidR="007C5AF7" w:rsidRPr="001949F9">
        <w:t>rescribing information</w:t>
      </w:r>
      <w:r w:rsidR="007C5AF7">
        <w:t>]</w:t>
      </w:r>
      <w:r w:rsidR="007C5AF7" w:rsidRPr="001949F9">
        <w:t>.</w:t>
      </w:r>
      <w:r w:rsidR="007C5AF7">
        <w:t xml:space="preserve"> Chicago, IL:</w:t>
      </w:r>
      <w:r w:rsidR="007C5AF7" w:rsidRPr="001949F9">
        <w:t xml:space="preserve"> </w:t>
      </w:r>
      <w:proofErr w:type="spellStart"/>
      <w:r w:rsidR="007C5AF7" w:rsidRPr="001949F9">
        <w:t>Xeris</w:t>
      </w:r>
      <w:proofErr w:type="spellEnd"/>
      <w:r w:rsidR="007C5AF7" w:rsidRPr="001949F9">
        <w:t xml:space="preserve"> Pharmaceuticals, Inc</w:t>
      </w:r>
      <w:r w:rsidR="00AA2DEE">
        <w:t>.</w:t>
      </w:r>
      <w:r w:rsidR="007C5AF7" w:rsidRPr="001949F9">
        <w:t>; 2023.</w:t>
      </w:r>
    </w:p>
    <w:sectPr w:rsidR="00327441" w:rsidRPr="008C76A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A547" w14:textId="77777777" w:rsidR="005E55B9" w:rsidRDefault="005E55B9" w:rsidP="00323B73">
      <w:pPr>
        <w:spacing w:after="0" w:line="240" w:lineRule="auto"/>
      </w:pPr>
      <w:r>
        <w:separator/>
      </w:r>
    </w:p>
  </w:endnote>
  <w:endnote w:type="continuationSeparator" w:id="0">
    <w:p w14:paraId="6778ED3F" w14:textId="77777777" w:rsidR="005E55B9" w:rsidRDefault="005E55B9" w:rsidP="0032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9AD4" w14:textId="3A6EAC0A" w:rsidR="00323B73" w:rsidRDefault="00BC5DFD">
    <w:pPr>
      <w:pStyle w:val="Footer"/>
    </w:pPr>
    <w:r w:rsidRPr="00BC5DFD">
      <w:t>US-REC-21-00008</w:t>
    </w:r>
    <w:r>
      <w:t xml:space="preserve"> </w:t>
    </w:r>
    <w:r w:rsidR="00A3345F">
      <w:t>(</w:t>
    </w:r>
    <w:r>
      <w:t>v</w:t>
    </w:r>
    <w:r w:rsidR="00FB28D3">
      <w:t>3</w:t>
    </w:r>
    <w:r w:rsidR="00A3345F">
      <w:t>)</w:t>
    </w:r>
    <w:r>
      <w:t xml:space="preserve"> </w:t>
    </w:r>
    <w:r w:rsidR="00A3345F">
      <w:t>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53DE" w14:textId="77777777" w:rsidR="005E55B9" w:rsidRDefault="005E55B9" w:rsidP="00323B73">
      <w:pPr>
        <w:spacing w:after="0" w:line="240" w:lineRule="auto"/>
      </w:pPr>
      <w:r>
        <w:separator/>
      </w:r>
    </w:p>
  </w:footnote>
  <w:footnote w:type="continuationSeparator" w:id="0">
    <w:p w14:paraId="741B3155" w14:textId="77777777" w:rsidR="005E55B9" w:rsidRDefault="005E55B9" w:rsidP="00323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685338"/>
      <w:docPartObj>
        <w:docPartGallery w:val="Page Numbers (Top of Page)"/>
        <w:docPartUnique/>
      </w:docPartObj>
    </w:sdtPr>
    <w:sdtEndPr>
      <w:rPr>
        <w:noProof/>
      </w:rPr>
    </w:sdtEndPr>
    <w:sdtContent>
      <w:p w14:paraId="4C2B1C09" w14:textId="4A2FD6CD" w:rsidR="0066350A" w:rsidRDefault="006635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376115" w14:textId="77777777" w:rsidR="0066350A" w:rsidRDefault="00663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58F0"/>
    <w:multiLevelType w:val="hybridMultilevel"/>
    <w:tmpl w:val="9CCA8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02C9"/>
    <w:multiLevelType w:val="hybridMultilevel"/>
    <w:tmpl w:val="161EE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82A76"/>
    <w:multiLevelType w:val="hybridMultilevel"/>
    <w:tmpl w:val="5AE4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7248"/>
    <w:multiLevelType w:val="hybridMultilevel"/>
    <w:tmpl w:val="0B56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7B0"/>
    <w:multiLevelType w:val="hybridMultilevel"/>
    <w:tmpl w:val="4F90C3F6"/>
    <w:lvl w:ilvl="0" w:tplc="5BAA1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B2872"/>
    <w:multiLevelType w:val="hybridMultilevel"/>
    <w:tmpl w:val="CDA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E036C"/>
    <w:multiLevelType w:val="hybridMultilevel"/>
    <w:tmpl w:val="09FA3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81A25"/>
    <w:multiLevelType w:val="hybridMultilevel"/>
    <w:tmpl w:val="2268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764BF"/>
    <w:multiLevelType w:val="hybridMultilevel"/>
    <w:tmpl w:val="918C4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172780">
    <w:abstractNumId w:val="5"/>
  </w:num>
  <w:num w:numId="2" w16cid:durableId="28452173">
    <w:abstractNumId w:val="3"/>
  </w:num>
  <w:num w:numId="3" w16cid:durableId="582836604">
    <w:abstractNumId w:val="1"/>
  </w:num>
  <w:num w:numId="4" w16cid:durableId="729382300">
    <w:abstractNumId w:val="4"/>
  </w:num>
  <w:num w:numId="5" w16cid:durableId="380179020">
    <w:abstractNumId w:val="2"/>
  </w:num>
  <w:num w:numId="6" w16cid:durableId="475882706">
    <w:abstractNumId w:val="0"/>
  </w:num>
  <w:num w:numId="7" w16cid:durableId="1451051088">
    <w:abstractNumId w:val="8"/>
  </w:num>
  <w:num w:numId="8" w16cid:durableId="218857372">
    <w:abstractNumId w:val="6"/>
  </w:num>
  <w:num w:numId="9" w16cid:durableId="288358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FA"/>
    <w:rsid w:val="0004552A"/>
    <w:rsid w:val="00054760"/>
    <w:rsid w:val="00060CD5"/>
    <w:rsid w:val="00097B0B"/>
    <w:rsid w:val="000A65B0"/>
    <w:rsid w:val="000B6FC0"/>
    <w:rsid w:val="000C4C4A"/>
    <w:rsid w:val="000D0F28"/>
    <w:rsid w:val="000D3DF2"/>
    <w:rsid w:val="000E755E"/>
    <w:rsid w:val="000F1B5C"/>
    <w:rsid w:val="001006A1"/>
    <w:rsid w:val="001130F4"/>
    <w:rsid w:val="00124336"/>
    <w:rsid w:val="00150A58"/>
    <w:rsid w:val="00151581"/>
    <w:rsid w:val="00187471"/>
    <w:rsid w:val="001949F9"/>
    <w:rsid w:val="001A0020"/>
    <w:rsid w:val="001A4258"/>
    <w:rsid w:val="001C2AEB"/>
    <w:rsid w:val="00204071"/>
    <w:rsid w:val="00225EF6"/>
    <w:rsid w:val="002309F4"/>
    <w:rsid w:val="002342D3"/>
    <w:rsid w:val="00251D26"/>
    <w:rsid w:val="00255594"/>
    <w:rsid w:val="00286EDE"/>
    <w:rsid w:val="00290411"/>
    <w:rsid w:val="002B42AF"/>
    <w:rsid w:val="002D32DF"/>
    <w:rsid w:val="002D51FA"/>
    <w:rsid w:val="002E467D"/>
    <w:rsid w:val="003004A4"/>
    <w:rsid w:val="00321B28"/>
    <w:rsid w:val="00323B73"/>
    <w:rsid w:val="00327441"/>
    <w:rsid w:val="00332890"/>
    <w:rsid w:val="00337408"/>
    <w:rsid w:val="003521D3"/>
    <w:rsid w:val="003B432F"/>
    <w:rsid w:val="003C0B0C"/>
    <w:rsid w:val="003C2C8C"/>
    <w:rsid w:val="003C2CB5"/>
    <w:rsid w:val="003D1EF9"/>
    <w:rsid w:val="00411331"/>
    <w:rsid w:val="00417013"/>
    <w:rsid w:val="00421A4D"/>
    <w:rsid w:val="0042441E"/>
    <w:rsid w:val="0042488D"/>
    <w:rsid w:val="00454FAF"/>
    <w:rsid w:val="00463A27"/>
    <w:rsid w:val="004668DC"/>
    <w:rsid w:val="00482B06"/>
    <w:rsid w:val="00486F67"/>
    <w:rsid w:val="004A1DB4"/>
    <w:rsid w:val="004A436A"/>
    <w:rsid w:val="004A6C02"/>
    <w:rsid w:val="004B30F8"/>
    <w:rsid w:val="004B3379"/>
    <w:rsid w:val="004B5A3A"/>
    <w:rsid w:val="00503E1A"/>
    <w:rsid w:val="005171EE"/>
    <w:rsid w:val="00560CFE"/>
    <w:rsid w:val="005642EA"/>
    <w:rsid w:val="005733AC"/>
    <w:rsid w:val="00580A0D"/>
    <w:rsid w:val="005A122D"/>
    <w:rsid w:val="005A6CEA"/>
    <w:rsid w:val="005D00B9"/>
    <w:rsid w:val="005D0DE2"/>
    <w:rsid w:val="005D208F"/>
    <w:rsid w:val="005E55B9"/>
    <w:rsid w:val="005F351F"/>
    <w:rsid w:val="0066027B"/>
    <w:rsid w:val="00660498"/>
    <w:rsid w:val="0066350A"/>
    <w:rsid w:val="006B2FE7"/>
    <w:rsid w:val="006D7682"/>
    <w:rsid w:val="006F2096"/>
    <w:rsid w:val="00705C7B"/>
    <w:rsid w:val="00750D63"/>
    <w:rsid w:val="00785A8E"/>
    <w:rsid w:val="00786267"/>
    <w:rsid w:val="007914A9"/>
    <w:rsid w:val="00793476"/>
    <w:rsid w:val="007C5AF7"/>
    <w:rsid w:val="007D196B"/>
    <w:rsid w:val="007E755E"/>
    <w:rsid w:val="007F6937"/>
    <w:rsid w:val="0080337D"/>
    <w:rsid w:val="008139FA"/>
    <w:rsid w:val="00831B51"/>
    <w:rsid w:val="00846807"/>
    <w:rsid w:val="00854367"/>
    <w:rsid w:val="0086143A"/>
    <w:rsid w:val="00865872"/>
    <w:rsid w:val="00872BC3"/>
    <w:rsid w:val="008758FD"/>
    <w:rsid w:val="00881074"/>
    <w:rsid w:val="00883905"/>
    <w:rsid w:val="0088431F"/>
    <w:rsid w:val="008B582B"/>
    <w:rsid w:val="008C76AB"/>
    <w:rsid w:val="008F5F3C"/>
    <w:rsid w:val="00944334"/>
    <w:rsid w:val="00951AC2"/>
    <w:rsid w:val="009726D0"/>
    <w:rsid w:val="00991CD3"/>
    <w:rsid w:val="009A30AB"/>
    <w:rsid w:val="009C30D9"/>
    <w:rsid w:val="00A02E25"/>
    <w:rsid w:val="00A2114A"/>
    <w:rsid w:val="00A3200F"/>
    <w:rsid w:val="00A3345F"/>
    <w:rsid w:val="00A363B3"/>
    <w:rsid w:val="00A53239"/>
    <w:rsid w:val="00AA2DEE"/>
    <w:rsid w:val="00AA53F5"/>
    <w:rsid w:val="00AB6729"/>
    <w:rsid w:val="00AB7489"/>
    <w:rsid w:val="00AC4754"/>
    <w:rsid w:val="00AD6A50"/>
    <w:rsid w:val="00AF0350"/>
    <w:rsid w:val="00B25C8A"/>
    <w:rsid w:val="00B460A4"/>
    <w:rsid w:val="00B5147B"/>
    <w:rsid w:val="00B53DC6"/>
    <w:rsid w:val="00B54998"/>
    <w:rsid w:val="00B84587"/>
    <w:rsid w:val="00BA5256"/>
    <w:rsid w:val="00BA5C72"/>
    <w:rsid w:val="00BB5F71"/>
    <w:rsid w:val="00BC5DFD"/>
    <w:rsid w:val="00BD64AB"/>
    <w:rsid w:val="00C20CF3"/>
    <w:rsid w:val="00C60636"/>
    <w:rsid w:val="00C61148"/>
    <w:rsid w:val="00C77C7F"/>
    <w:rsid w:val="00CC01DA"/>
    <w:rsid w:val="00CC046E"/>
    <w:rsid w:val="00CD280F"/>
    <w:rsid w:val="00D0096E"/>
    <w:rsid w:val="00D31C00"/>
    <w:rsid w:val="00D42A11"/>
    <w:rsid w:val="00D574AB"/>
    <w:rsid w:val="00D662B6"/>
    <w:rsid w:val="00D73945"/>
    <w:rsid w:val="00D920EE"/>
    <w:rsid w:val="00D96114"/>
    <w:rsid w:val="00DA61DB"/>
    <w:rsid w:val="00DD159D"/>
    <w:rsid w:val="00DD63DB"/>
    <w:rsid w:val="00E262D6"/>
    <w:rsid w:val="00E51FEA"/>
    <w:rsid w:val="00E5580B"/>
    <w:rsid w:val="00E634BA"/>
    <w:rsid w:val="00E9603F"/>
    <w:rsid w:val="00EB0EF7"/>
    <w:rsid w:val="00EE18E8"/>
    <w:rsid w:val="00EF3BA7"/>
    <w:rsid w:val="00EF55E3"/>
    <w:rsid w:val="00F013E0"/>
    <w:rsid w:val="00F12C3D"/>
    <w:rsid w:val="00F6049E"/>
    <w:rsid w:val="00F64254"/>
    <w:rsid w:val="00F90724"/>
    <w:rsid w:val="00F95703"/>
    <w:rsid w:val="00FB28D3"/>
    <w:rsid w:val="00FB45E7"/>
    <w:rsid w:val="00FC4C9F"/>
    <w:rsid w:val="00FD4E91"/>
    <w:rsid w:val="00FE1C1C"/>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0C07"/>
  <w15:chartTrackingRefBased/>
  <w15:docId w15:val="{4D2304FA-AACE-4E14-B9EE-51C60729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9FA"/>
    <w:rPr>
      <w:rFonts w:eastAsiaTheme="majorEastAsia" w:cstheme="majorBidi"/>
      <w:color w:val="272727" w:themeColor="text1" w:themeTint="D8"/>
    </w:rPr>
  </w:style>
  <w:style w:type="paragraph" w:styleId="Title">
    <w:name w:val="Title"/>
    <w:basedOn w:val="Normal"/>
    <w:next w:val="Normal"/>
    <w:link w:val="TitleChar"/>
    <w:uiPriority w:val="10"/>
    <w:qFormat/>
    <w:rsid w:val="00813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9FA"/>
    <w:pPr>
      <w:spacing w:before="160"/>
      <w:jc w:val="center"/>
    </w:pPr>
    <w:rPr>
      <w:i/>
      <w:iCs/>
      <w:color w:val="404040" w:themeColor="text1" w:themeTint="BF"/>
    </w:rPr>
  </w:style>
  <w:style w:type="character" w:customStyle="1" w:styleId="QuoteChar">
    <w:name w:val="Quote Char"/>
    <w:basedOn w:val="DefaultParagraphFont"/>
    <w:link w:val="Quote"/>
    <w:uiPriority w:val="29"/>
    <w:rsid w:val="008139FA"/>
    <w:rPr>
      <w:i/>
      <w:iCs/>
      <w:color w:val="404040" w:themeColor="text1" w:themeTint="BF"/>
    </w:rPr>
  </w:style>
  <w:style w:type="paragraph" w:styleId="ListParagraph">
    <w:name w:val="List Paragraph"/>
    <w:basedOn w:val="Normal"/>
    <w:uiPriority w:val="34"/>
    <w:qFormat/>
    <w:rsid w:val="008139FA"/>
    <w:pPr>
      <w:ind w:left="720"/>
      <w:contextualSpacing/>
    </w:pPr>
  </w:style>
  <w:style w:type="character" w:styleId="IntenseEmphasis">
    <w:name w:val="Intense Emphasis"/>
    <w:basedOn w:val="DefaultParagraphFont"/>
    <w:uiPriority w:val="21"/>
    <w:qFormat/>
    <w:rsid w:val="008139FA"/>
    <w:rPr>
      <w:i/>
      <w:iCs/>
      <w:color w:val="0F4761" w:themeColor="accent1" w:themeShade="BF"/>
    </w:rPr>
  </w:style>
  <w:style w:type="paragraph" w:styleId="IntenseQuote">
    <w:name w:val="Intense Quote"/>
    <w:basedOn w:val="Normal"/>
    <w:next w:val="Normal"/>
    <w:link w:val="IntenseQuoteChar"/>
    <w:uiPriority w:val="30"/>
    <w:qFormat/>
    <w:rsid w:val="00813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9FA"/>
    <w:rPr>
      <w:i/>
      <w:iCs/>
      <w:color w:val="0F4761" w:themeColor="accent1" w:themeShade="BF"/>
    </w:rPr>
  </w:style>
  <w:style w:type="character" w:styleId="IntenseReference">
    <w:name w:val="Intense Reference"/>
    <w:basedOn w:val="DefaultParagraphFont"/>
    <w:uiPriority w:val="32"/>
    <w:qFormat/>
    <w:rsid w:val="008139FA"/>
    <w:rPr>
      <w:b/>
      <w:bCs/>
      <w:smallCaps/>
      <w:color w:val="0F4761" w:themeColor="accent1" w:themeShade="BF"/>
      <w:spacing w:val="5"/>
    </w:rPr>
  </w:style>
  <w:style w:type="character" w:styleId="CommentReference">
    <w:name w:val="annotation reference"/>
    <w:basedOn w:val="DefaultParagraphFont"/>
    <w:uiPriority w:val="99"/>
    <w:semiHidden/>
    <w:unhideWhenUsed/>
    <w:rsid w:val="005A122D"/>
    <w:rPr>
      <w:sz w:val="16"/>
      <w:szCs w:val="16"/>
    </w:rPr>
  </w:style>
  <w:style w:type="paragraph" w:styleId="CommentText">
    <w:name w:val="annotation text"/>
    <w:basedOn w:val="Normal"/>
    <w:link w:val="CommentTextChar"/>
    <w:uiPriority w:val="99"/>
    <w:unhideWhenUsed/>
    <w:rsid w:val="005A122D"/>
    <w:pPr>
      <w:spacing w:line="240" w:lineRule="auto"/>
    </w:pPr>
    <w:rPr>
      <w:sz w:val="20"/>
      <w:szCs w:val="20"/>
    </w:rPr>
  </w:style>
  <w:style w:type="character" w:customStyle="1" w:styleId="CommentTextChar">
    <w:name w:val="Comment Text Char"/>
    <w:basedOn w:val="DefaultParagraphFont"/>
    <w:link w:val="CommentText"/>
    <w:uiPriority w:val="99"/>
    <w:rsid w:val="005A122D"/>
    <w:rPr>
      <w:sz w:val="20"/>
      <w:szCs w:val="20"/>
    </w:rPr>
  </w:style>
  <w:style w:type="paragraph" w:styleId="CommentSubject">
    <w:name w:val="annotation subject"/>
    <w:basedOn w:val="CommentText"/>
    <w:next w:val="CommentText"/>
    <w:link w:val="CommentSubjectChar"/>
    <w:uiPriority w:val="99"/>
    <w:semiHidden/>
    <w:unhideWhenUsed/>
    <w:rsid w:val="005A122D"/>
    <w:rPr>
      <w:b/>
      <w:bCs/>
    </w:rPr>
  </w:style>
  <w:style w:type="character" w:customStyle="1" w:styleId="CommentSubjectChar">
    <w:name w:val="Comment Subject Char"/>
    <w:basedOn w:val="CommentTextChar"/>
    <w:link w:val="CommentSubject"/>
    <w:uiPriority w:val="99"/>
    <w:semiHidden/>
    <w:rsid w:val="005A122D"/>
    <w:rPr>
      <w:b/>
      <w:bCs/>
      <w:sz w:val="20"/>
      <w:szCs w:val="20"/>
    </w:rPr>
  </w:style>
  <w:style w:type="paragraph" w:styleId="BodyText">
    <w:name w:val="Body Text"/>
    <w:basedOn w:val="Normal"/>
    <w:link w:val="BodyTextChar"/>
    <w:uiPriority w:val="1"/>
    <w:qFormat/>
    <w:rsid w:val="00321B28"/>
    <w:pPr>
      <w:widowControl w:val="0"/>
      <w:autoSpaceDE w:val="0"/>
      <w:autoSpaceDN w:val="0"/>
      <w:spacing w:after="0" w:line="240" w:lineRule="auto"/>
    </w:pPr>
    <w:rPr>
      <w:rFonts w:ascii="Calibri" w:eastAsia="Calibri" w:hAnsi="Calibri" w:cs="Calibri"/>
      <w:kern w:val="0"/>
      <w:sz w:val="20"/>
      <w:szCs w:val="20"/>
      <w:lang w:bidi="en-US"/>
      <w14:ligatures w14:val="none"/>
    </w:rPr>
  </w:style>
  <w:style w:type="character" w:customStyle="1" w:styleId="BodyTextChar">
    <w:name w:val="Body Text Char"/>
    <w:basedOn w:val="DefaultParagraphFont"/>
    <w:link w:val="BodyText"/>
    <w:uiPriority w:val="1"/>
    <w:rsid w:val="00321B28"/>
    <w:rPr>
      <w:rFonts w:ascii="Calibri" w:eastAsia="Calibri" w:hAnsi="Calibri" w:cs="Calibri"/>
      <w:kern w:val="0"/>
      <w:sz w:val="20"/>
      <w:szCs w:val="20"/>
      <w:lang w:bidi="en-US"/>
      <w14:ligatures w14:val="none"/>
    </w:rPr>
  </w:style>
  <w:style w:type="character" w:styleId="Hyperlink">
    <w:name w:val="Hyperlink"/>
    <w:basedOn w:val="DefaultParagraphFont"/>
    <w:uiPriority w:val="99"/>
    <w:unhideWhenUsed/>
    <w:rsid w:val="00411331"/>
    <w:rPr>
      <w:color w:val="467886" w:themeColor="hyperlink"/>
      <w:u w:val="single"/>
    </w:rPr>
  </w:style>
  <w:style w:type="paragraph" w:styleId="Header">
    <w:name w:val="header"/>
    <w:basedOn w:val="Normal"/>
    <w:link w:val="HeaderChar"/>
    <w:uiPriority w:val="99"/>
    <w:unhideWhenUsed/>
    <w:rsid w:val="0032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B73"/>
  </w:style>
  <w:style w:type="paragraph" w:styleId="Footer">
    <w:name w:val="footer"/>
    <w:basedOn w:val="Normal"/>
    <w:link w:val="FooterChar"/>
    <w:uiPriority w:val="99"/>
    <w:unhideWhenUsed/>
    <w:rsid w:val="0032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B73"/>
  </w:style>
  <w:style w:type="character" w:styleId="UnresolvedMention">
    <w:name w:val="Unresolved Mention"/>
    <w:basedOn w:val="DefaultParagraphFont"/>
    <w:uiPriority w:val="99"/>
    <w:semiHidden/>
    <w:unhideWhenUsed/>
    <w:rsid w:val="003C2CB5"/>
    <w:rPr>
      <w:color w:val="605E5C"/>
      <w:shd w:val="clear" w:color="auto" w:fill="E1DFDD"/>
    </w:rPr>
  </w:style>
  <w:style w:type="paragraph" w:customStyle="1" w:styleId="CiteItBibliographyTitle">
    <w:name w:val="CiteIt Bibliography Title"/>
    <w:basedOn w:val="Normal"/>
    <w:link w:val="CiteItBibliographyTitleChar"/>
    <w:autoRedefine/>
    <w:qFormat/>
    <w:rsid w:val="008C76AB"/>
    <w:pPr>
      <w:jc w:val="center"/>
    </w:pPr>
    <w:rPr>
      <w:rFonts w:ascii="Calibri" w:hAnsi="Calibri"/>
      <w:kern w:val="0"/>
      <w:sz w:val="32"/>
      <w14:ligatures w14:val="none"/>
    </w:rPr>
  </w:style>
  <w:style w:type="character" w:customStyle="1" w:styleId="CiteItBibliographyTitleChar">
    <w:name w:val="CiteIt Bibliography Title Char"/>
    <w:basedOn w:val="DefaultParagraphFont"/>
    <w:link w:val="CiteItBibliographyTitle"/>
    <w:rsid w:val="008C76AB"/>
    <w:rPr>
      <w:rFonts w:ascii="Calibri" w:hAnsi="Calibri"/>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orlev.com/full-prescribing-inform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corlev.com/full-prescribing-information.pdf" TargetMode="External"/><Relationship Id="rId4" Type="http://schemas.openxmlformats.org/officeDocument/2006/relationships/settings" Target="settings.xml"/><Relationship Id="rId9" Type="http://schemas.openxmlformats.org/officeDocument/2006/relationships/hyperlink" Target="https://www.recorlev.com/recorlev-medication-gui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225D8-9B54-47AE-B308-3D94FF4B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Fasso</dc:creator>
  <cp:keywords/>
  <dc:description/>
  <cp:lastModifiedBy>Gino Fasso</cp:lastModifiedBy>
  <cp:revision>16</cp:revision>
  <dcterms:created xsi:type="dcterms:W3CDTF">2025-06-13T18:29:00Z</dcterms:created>
  <dcterms:modified xsi:type="dcterms:W3CDTF">2025-06-23T14:43:00Z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Title">
    <vt:lpwstr>References</vt:lpwstr>
  </property>
  <property fmtid="{D5CDD505-2E9C-101B-9397-08002B2CF9AE}" pid="3" name="SelectedBibliographyStyleName">
    <vt:lpwstr>American Medical Association</vt:lpwstr>
  </property>
</Properties>
</file>